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29" w:firstLineChars="550"/>
        <w:rPr>
          <w:rFonts w:hint="eastAsia" w:ascii="宋体" w:hAnsi="宋体" w:cs="宋体"/>
          <w:b/>
          <w:color w:val="auto"/>
          <w:sz w:val="44"/>
          <w:highlight w:val="none"/>
        </w:rPr>
      </w:pPr>
      <w:bookmarkStart w:id="2" w:name="_GoBack"/>
      <w:bookmarkEnd w:id="2"/>
    </w:p>
    <w:p>
      <w:pPr>
        <w:autoSpaceDE w:val="0"/>
        <w:autoSpaceDN w:val="0"/>
        <w:adjustRightInd w:val="0"/>
        <w:jc w:val="center"/>
        <w:rPr>
          <w:rFonts w:ascii="宋体" w:hAnsi="宋体" w:cs="宋体"/>
          <w:b/>
          <w:color w:val="auto"/>
          <w:sz w:val="52"/>
          <w:szCs w:val="52"/>
          <w:highlight w:val="none"/>
        </w:rPr>
      </w:pPr>
      <w:r>
        <w:rPr>
          <w:rFonts w:hint="eastAsia" w:ascii="宋体" w:hAnsi="宋体" w:cs="宋体"/>
          <w:b/>
          <w:color w:val="auto"/>
          <w:sz w:val="52"/>
          <w:szCs w:val="52"/>
          <w:highlight w:val="none"/>
        </w:rPr>
        <w:t>南通市第二中学空调、空气能维保项目</w:t>
      </w:r>
    </w:p>
    <w:p>
      <w:pPr>
        <w:autoSpaceDE w:val="0"/>
        <w:autoSpaceDN w:val="0"/>
        <w:adjustRightInd w:val="0"/>
        <w:jc w:val="center"/>
        <w:rPr>
          <w:rFonts w:ascii="宋体" w:hAnsi="宋体" w:cs="宋体"/>
          <w:b/>
          <w:color w:val="auto"/>
          <w:sz w:val="52"/>
          <w:szCs w:val="52"/>
          <w:highlight w:val="none"/>
        </w:rPr>
      </w:pPr>
    </w:p>
    <w:p>
      <w:pPr>
        <w:autoSpaceDE w:val="0"/>
        <w:autoSpaceDN w:val="0"/>
        <w:adjustRightInd w:val="0"/>
        <w:rPr>
          <w:rFonts w:ascii="宋体" w:hAnsi="宋体" w:cs="宋体"/>
          <w:color w:val="auto"/>
          <w:szCs w:val="21"/>
          <w:highlight w:val="none"/>
        </w:rPr>
      </w:pPr>
    </w:p>
    <w:p>
      <w:pPr>
        <w:autoSpaceDE w:val="0"/>
        <w:autoSpaceDN w:val="0"/>
        <w:adjustRightInd w:val="0"/>
        <w:spacing w:line="1000" w:lineRule="exact"/>
        <w:jc w:val="center"/>
        <w:rPr>
          <w:rFonts w:ascii="宋体" w:hAnsi="宋体" w:cs="宋体"/>
          <w:b/>
          <w:bCs/>
          <w:color w:val="auto"/>
          <w:sz w:val="72"/>
          <w:szCs w:val="72"/>
          <w:highlight w:val="none"/>
        </w:rPr>
      </w:pPr>
      <w:r>
        <w:rPr>
          <w:rFonts w:hint="eastAsia" w:ascii="宋体" w:hAnsi="宋体" w:cs="宋体"/>
          <w:b/>
          <w:bCs/>
          <w:color w:val="auto"/>
          <w:sz w:val="72"/>
          <w:szCs w:val="72"/>
          <w:highlight w:val="none"/>
          <w:lang w:val="zh-CN"/>
        </w:rPr>
        <w:t>政府采购竞争性</w:t>
      </w:r>
    </w:p>
    <w:p>
      <w:pPr>
        <w:autoSpaceDE w:val="0"/>
        <w:autoSpaceDN w:val="0"/>
        <w:adjustRightInd w:val="0"/>
        <w:spacing w:line="1000" w:lineRule="exact"/>
        <w:jc w:val="center"/>
        <w:rPr>
          <w:rFonts w:ascii="宋体" w:hAnsi="宋体" w:cs="宋体"/>
          <w:b/>
          <w:bCs/>
          <w:color w:val="auto"/>
          <w:sz w:val="72"/>
          <w:szCs w:val="72"/>
          <w:highlight w:val="none"/>
        </w:rPr>
      </w:pPr>
      <w:r>
        <w:rPr>
          <w:rFonts w:hint="eastAsia" w:ascii="宋体" w:hAnsi="宋体" w:cs="宋体"/>
          <w:b/>
          <w:bCs/>
          <w:color w:val="auto"/>
          <w:sz w:val="72"/>
          <w:szCs w:val="72"/>
          <w:highlight w:val="none"/>
          <w:lang w:val="zh-CN"/>
        </w:rPr>
        <w:t>磋商文件</w:t>
      </w:r>
    </w:p>
    <w:p>
      <w:pPr>
        <w:autoSpaceDE w:val="0"/>
        <w:autoSpaceDN w:val="0"/>
        <w:adjustRightInd w:val="0"/>
        <w:spacing w:line="360" w:lineRule="auto"/>
        <w:ind w:firstLine="420"/>
        <w:jc w:val="center"/>
        <w:rPr>
          <w:rFonts w:ascii="宋体" w:hAnsi="宋体" w:cs="宋体"/>
          <w:color w:val="auto"/>
          <w:szCs w:val="21"/>
          <w:highlight w:val="none"/>
        </w:rPr>
      </w:pPr>
    </w:p>
    <w:p>
      <w:pPr>
        <w:autoSpaceDE w:val="0"/>
        <w:autoSpaceDN w:val="0"/>
        <w:adjustRightInd w:val="0"/>
        <w:spacing w:line="360" w:lineRule="auto"/>
        <w:ind w:firstLine="420"/>
        <w:jc w:val="center"/>
        <w:rPr>
          <w:rFonts w:ascii="宋体" w:hAnsi="宋体" w:cs="宋体"/>
          <w:color w:val="auto"/>
          <w:szCs w:val="21"/>
          <w:highlight w:val="none"/>
        </w:rPr>
      </w:pPr>
    </w:p>
    <w:p>
      <w:pPr>
        <w:autoSpaceDE w:val="0"/>
        <w:autoSpaceDN w:val="0"/>
        <w:adjustRightInd w:val="0"/>
        <w:spacing w:line="360" w:lineRule="auto"/>
        <w:ind w:firstLine="420"/>
        <w:jc w:val="center"/>
        <w:rPr>
          <w:rFonts w:ascii="宋体" w:hAnsi="宋体" w:cs="宋体"/>
          <w:color w:val="auto"/>
          <w:szCs w:val="21"/>
          <w:highlight w:val="none"/>
        </w:rPr>
      </w:pPr>
    </w:p>
    <w:p>
      <w:pPr>
        <w:autoSpaceDE w:val="0"/>
        <w:autoSpaceDN w:val="0"/>
        <w:adjustRightInd w:val="0"/>
        <w:spacing w:line="360" w:lineRule="auto"/>
        <w:ind w:firstLine="420"/>
        <w:jc w:val="center"/>
        <w:rPr>
          <w:rFonts w:ascii="宋体" w:hAnsi="宋体" w:cs="宋体"/>
          <w:color w:val="auto"/>
          <w:szCs w:val="21"/>
          <w:highlight w:val="none"/>
        </w:rPr>
      </w:pPr>
    </w:p>
    <w:p>
      <w:pPr>
        <w:autoSpaceDE w:val="0"/>
        <w:autoSpaceDN w:val="0"/>
        <w:adjustRightInd w:val="0"/>
        <w:jc w:val="center"/>
        <w:rPr>
          <w:rFonts w:ascii="宋体" w:hAnsi="宋体" w:cs="宋体"/>
          <w:color w:val="auto"/>
          <w:szCs w:val="21"/>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autoSpaceDE w:val="0"/>
        <w:autoSpaceDN w:val="0"/>
        <w:adjustRightInd w:val="0"/>
        <w:spacing w:line="360" w:lineRule="auto"/>
        <w:ind w:firstLine="420"/>
        <w:jc w:val="center"/>
        <w:rPr>
          <w:rFonts w:ascii="宋体" w:hAnsi="宋体" w:cs="宋体"/>
          <w:color w:val="auto"/>
          <w:szCs w:val="21"/>
          <w:highlight w:val="none"/>
        </w:rPr>
      </w:pPr>
    </w:p>
    <w:p>
      <w:pPr>
        <w:autoSpaceDE w:val="0"/>
        <w:autoSpaceDN w:val="0"/>
        <w:adjustRightInd w:val="0"/>
        <w:spacing w:line="360" w:lineRule="auto"/>
        <w:rPr>
          <w:rFonts w:ascii="宋体" w:hAnsi="宋体" w:cs="宋体"/>
          <w:color w:val="auto"/>
          <w:sz w:val="44"/>
          <w:szCs w:val="44"/>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autoSpaceDE w:val="0"/>
        <w:autoSpaceDN w:val="0"/>
        <w:adjustRightInd w:val="0"/>
        <w:spacing w:line="360" w:lineRule="auto"/>
        <w:ind w:firstLine="420"/>
        <w:jc w:val="center"/>
        <w:rPr>
          <w:rFonts w:ascii="宋体" w:hAnsi="宋体" w:cs="宋体"/>
          <w:color w:val="auto"/>
          <w:sz w:val="44"/>
          <w:szCs w:val="44"/>
          <w:highlight w:val="none"/>
        </w:rPr>
      </w:pPr>
    </w:p>
    <w:p>
      <w:pPr>
        <w:pStyle w:val="2"/>
        <w:rPr>
          <w:color w:val="auto"/>
          <w:highlight w:val="none"/>
        </w:rPr>
      </w:pPr>
    </w:p>
    <w:p>
      <w:pPr>
        <w:pStyle w:val="2"/>
        <w:rPr>
          <w:color w:val="auto"/>
          <w:highlight w:val="none"/>
        </w:rPr>
      </w:pPr>
    </w:p>
    <w:p>
      <w:pPr>
        <w:pStyle w:val="2"/>
        <w:rPr>
          <w:color w:val="auto"/>
          <w:highlight w:val="none"/>
        </w:rPr>
      </w:pPr>
    </w:p>
    <w:p>
      <w:pPr>
        <w:autoSpaceDE w:val="0"/>
        <w:autoSpaceDN w:val="0"/>
        <w:adjustRightInd w:val="0"/>
        <w:spacing w:line="360" w:lineRule="auto"/>
        <w:ind w:firstLine="1606" w:firstLineChars="400"/>
        <w:jc w:val="left"/>
        <w:outlineLvl w:val="0"/>
        <w:rPr>
          <w:rFonts w:ascii="宋体" w:hAnsi="宋体" w:cs="宋体"/>
          <w:b/>
          <w:color w:val="auto"/>
          <w:spacing w:val="20"/>
          <w:sz w:val="36"/>
          <w:szCs w:val="36"/>
          <w:highlight w:val="none"/>
        </w:rPr>
      </w:pPr>
      <w:r>
        <w:rPr>
          <w:rFonts w:hint="eastAsia" w:ascii="宋体" w:hAnsi="宋体" w:cs="宋体"/>
          <w:b/>
          <w:color w:val="auto"/>
          <w:spacing w:val="20"/>
          <w:sz w:val="36"/>
          <w:szCs w:val="36"/>
          <w:highlight w:val="none"/>
        </w:rPr>
        <w:t>采购单位：南通市第二中学</w:t>
      </w:r>
    </w:p>
    <w:p>
      <w:pPr>
        <w:autoSpaceDE w:val="0"/>
        <w:autoSpaceDN w:val="0"/>
        <w:adjustRightInd w:val="0"/>
        <w:spacing w:line="360" w:lineRule="auto"/>
        <w:ind w:firstLine="1606" w:firstLineChars="400"/>
        <w:jc w:val="left"/>
        <w:outlineLvl w:val="0"/>
        <w:rPr>
          <w:rFonts w:ascii="宋体" w:hAnsi="宋体" w:cs="宋体"/>
          <w:b/>
          <w:color w:val="auto"/>
          <w:spacing w:val="20"/>
          <w:sz w:val="36"/>
          <w:szCs w:val="36"/>
          <w:highlight w:val="none"/>
        </w:rPr>
        <w:sectPr>
          <w:footerReference r:id="rId3" w:type="default"/>
          <w:pgSz w:w="11907" w:h="16839"/>
          <w:pgMar w:top="1440" w:right="726" w:bottom="873" w:left="1236" w:header="720" w:footer="720" w:gutter="0"/>
          <w:cols w:space="720" w:num="1"/>
          <w:docGrid w:linePitch="286" w:charSpace="0"/>
        </w:sectPr>
      </w:pPr>
      <w:r>
        <w:rPr>
          <w:rFonts w:hint="eastAsia" w:ascii="宋体" w:hAnsi="宋体" w:cs="宋体"/>
          <w:b/>
          <w:color w:val="auto"/>
          <w:spacing w:val="20"/>
          <w:sz w:val="36"/>
          <w:szCs w:val="36"/>
          <w:highlight w:val="none"/>
          <w:lang w:val="zh-CN"/>
        </w:rPr>
        <w:t>日期：</w:t>
      </w:r>
      <w:r>
        <w:rPr>
          <w:rFonts w:hint="eastAsia" w:ascii="宋体" w:hAnsi="宋体" w:cs="宋体"/>
          <w:b/>
          <w:color w:val="auto"/>
          <w:spacing w:val="20"/>
          <w:sz w:val="36"/>
          <w:szCs w:val="36"/>
          <w:highlight w:val="none"/>
        </w:rPr>
        <w:t>2020年6月2日</w:t>
      </w:r>
    </w:p>
    <w:p>
      <w:pPr>
        <w:autoSpaceDE w:val="0"/>
        <w:autoSpaceDN w:val="0"/>
        <w:adjustRightInd w:val="0"/>
        <w:spacing w:line="360" w:lineRule="auto"/>
        <w:jc w:val="center"/>
        <w:outlineLvl w:val="0"/>
        <w:rPr>
          <w:rFonts w:ascii="宋体" w:hAnsi="宋体" w:cs="宋体"/>
          <w:b/>
          <w:bCs/>
          <w:color w:val="auto"/>
          <w:sz w:val="44"/>
          <w:szCs w:val="44"/>
          <w:highlight w:val="none"/>
          <w:lang w:val="zh-CN"/>
        </w:rPr>
        <w:sectPr>
          <w:type w:val="continuous"/>
          <w:pgSz w:w="11907" w:h="16839"/>
          <w:pgMar w:top="1440" w:right="726" w:bottom="873" w:left="1236" w:header="720" w:footer="720" w:gutter="0"/>
          <w:cols w:space="720" w:num="1"/>
          <w:docGrid w:linePitch="286" w:charSpace="0"/>
        </w:sectPr>
      </w:pPr>
    </w:p>
    <w:p>
      <w:pPr>
        <w:autoSpaceDE w:val="0"/>
        <w:autoSpaceDN w:val="0"/>
        <w:adjustRightInd w:val="0"/>
        <w:spacing w:line="360" w:lineRule="auto"/>
        <w:jc w:val="center"/>
        <w:outlineLvl w:val="0"/>
        <w:rPr>
          <w:rFonts w:ascii="宋体" w:hAnsi="宋体" w:cs="宋体"/>
          <w:b/>
          <w:bCs/>
          <w:color w:val="auto"/>
          <w:sz w:val="44"/>
          <w:szCs w:val="44"/>
          <w:highlight w:val="none"/>
          <w:lang w:val="zh-CN"/>
        </w:rPr>
      </w:pPr>
      <w:r>
        <w:rPr>
          <w:rFonts w:hint="eastAsia" w:ascii="宋体" w:hAnsi="宋体" w:cs="宋体"/>
          <w:b/>
          <w:bCs/>
          <w:color w:val="auto"/>
          <w:sz w:val="44"/>
          <w:szCs w:val="44"/>
          <w:highlight w:val="none"/>
          <w:lang w:val="zh-CN"/>
        </w:rPr>
        <w:t>目   录</w:t>
      </w:r>
    </w:p>
    <w:p>
      <w:pPr>
        <w:autoSpaceDE w:val="0"/>
        <w:autoSpaceDN w:val="0"/>
        <w:adjustRightInd w:val="0"/>
        <w:spacing w:line="480" w:lineRule="auto"/>
        <w:ind w:firstLine="556"/>
        <w:rPr>
          <w:rFonts w:ascii="宋体" w:hAnsi="宋体" w:cs="宋体"/>
          <w:b/>
          <w:bCs/>
          <w:color w:val="auto"/>
          <w:sz w:val="32"/>
          <w:szCs w:val="32"/>
          <w:highlight w:val="none"/>
        </w:rPr>
      </w:pPr>
    </w:p>
    <w:p>
      <w:pPr>
        <w:autoSpaceDE w:val="0"/>
        <w:autoSpaceDN w:val="0"/>
        <w:adjustRightInd w:val="0"/>
        <w:spacing w:line="480" w:lineRule="auto"/>
        <w:ind w:firstLine="556"/>
        <w:rPr>
          <w:rFonts w:ascii="宋体" w:hAnsi="宋体" w:cs="宋体"/>
          <w:b/>
          <w:color w:val="auto"/>
          <w:sz w:val="32"/>
          <w:szCs w:val="32"/>
          <w:highlight w:val="none"/>
          <w:lang w:val="zh-CN"/>
        </w:rPr>
      </w:pPr>
      <w:r>
        <w:rPr>
          <w:rFonts w:hint="eastAsia" w:ascii="宋体" w:hAnsi="宋体" w:cs="宋体"/>
          <w:b/>
          <w:bCs/>
          <w:color w:val="auto"/>
          <w:sz w:val="32"/>
          <w:szCs w:val="32"/>
          <w:highlight w:val="none"/>
        </w:rPr>
        <w:t>第一部分  竞争性磋商</w:t>
      </w:r>
      <w:r>
        <w:rPr>
          <w:rFonts w:hint="eastAsia" w:ascii="宋体" w:hAnsi="宋体" w:cs="宋体"/>
          <w:b/>
          <w:color w:val="auto"/>
          <w:sz w:val="32"/>
          <w:szCs w:val="32"/>
          <w:highlight w:val="none"/>
          <w:lang w:val="zh-CN"/>
        </w:rPr>
        <w:t>邀请</w:t>
      </w:r>
    </w:p>
    <w:p>
      <w:pPr>
        <w:autoSpaceDE w:val="0"/>
        <w:autoSpaceDN w:val="0"/>
        <w:adjustRightInd w:val="0"/>
        <w:spacing w:line="480" w:lineRule="auto"/>
        <w:ind w:firstLine="556"/>
        <w:rPr>
          <w:rFonts w:ascii="宋体" w:hAnsi="宋体" w:cs="宋体"/>
          <w:b/>
          <w:bCs/>
          <w:color w:val="auto"/>
          <w:sz w:val="32"/>
          <w:szCs w:val="32"/>
          <w:highlight w:val="none"/>
          <w:lang w:val="zh-CN"/>
        </w:rPr>
      </w:pPr>
      <w:r>
        <w:rPr>
          <w:rFonts w:hint="eastAsia" w:ascii="宋体" w:hAnsi="宋体" w:cs="宋体"/>
          <w:b/>
          <w:bCs/>
          <w:color w:val="auto"/>
          <w:sz w:val="32"/>
          <w:szCs w:val="32"/>
          <w:highlight w:val="none"/>
        </w:rPr>
        <w:t>第二部分  磋商</w:t>
      </w:r>
      <w:r>
        <w:rPr>
          <w:rFonts w:hint="eastAsia" w:ascii="宋体" w:hAnsi="宋体" w:cs="宋体"/>
          <w:b/>
          <w:bCs/>
          <w:color w:val="auto"/>
          <w:sz w:val="32"/>
          <w:szCs w:val="32"/>
          <w:highlight w:val="none"/>
          <w:lang w:val="zh-CN"/>
        </w:rPr>
        <w:t>须知</w:t>
      </w:r>
    </w:p>
    <w:p>
      <w:pPr>
        <w:autoSpaceDE w:val="0"/>
        <w:autoSpaceDN w:val="0"/>
        <w:adjustRightInd w:val="0"/>
        <w:spacing w:line="480" w:lineRule="auto"/>
        <w:ind w:firstLine="556"/>
        <w:rPr>
          <w:rFonts w:ascii="宋体" w:hAnsi="宋体" w:cs="宋体"/>
          <w:b/>
          <w:bCs/>
          <w:color w:val="auto"/>
          <w:sz w:val="32"/>
          <w:szCs w:val="32"/>
          <w:highlight w:val="none"/>
          <w:lang w:val="zh-CN"/>
        </w:rPr>
      </w:pPr>
      <w:r>
        <w:rPr>
          <w:rFonts w:hint="eastAsia" w:ascii="宋体" w:hAnsi="宋体" w:cs="宋体"/>
          <w:b/>
          <w:bCs/>
          <w:color w:val="auto"/>
          <w:sz w:val="32"/>
          <w:szCs w:val="32"/>
          <w:highlight w:val="none"/>
        </w:rPr>
        <w:t xml:space="preserve">第三部分  </w:t>
      </w:r>
      <w:r>
        <w:rPr>
          <w:rFonts w:hint="eastAsia" w:ascii="宋体" w:hAnsi="宋体" w:cs="宋体"/>
          <w:b/>
          <w:bCs/>
          <w:color w:val="auto"/>
          <w:sz w:val="32"/>
          <w:szCs w:val="32"/>
          <w:highlight w:val="none"/>
          <w:lang w:val="zh-CN"/>
        </w:rPr>
        <w:t>项目需求</w:t>
      </w:r>
    </w:p>
    <w:p>
      <w:pPr>
        <w:autoSpaceDE w:val="0"/>
        <w:autoSpaceDN w:val="0"/>
        <w:adjustRightInd w:val="0"/>
        <w:spacing w:line="480" w:lineRule="auto"/>
        <w:ind w:firstLine="556"/>
        <w:rPr>
          <w:rFonts w:ascii="宋体" w:hAnsi="宋体" w:cs="宋体"/>
          <w:b/>
          <w:bCs/>
          <w:color w:val="auto"/>
          <w:sz w:val="32"/>
          <w:szCs w:val="32"/>
          <w:highlight w:val="none"/>
          <w:lang w:val="zh-CN"/>
        </w:rPr>
      </w:pPr>
      <w:r>
        <w:rPr>
          <w:rFonts w:hint="eastAsia" w:ascii="宋体" w:hAnsi="宋体" w:cs="宋体"/>
          <w:b/>
          <w:bCs/>
          <w:color w:val="auto"/>
          <w:sz w:val="32"/>
          <w:szCs w:val="32"/>
          <w:highlight w:val="none"/>
        </w:rPr>
        <w:t>第四部分  磋商</w:t>
      </w:r>
      <w:r>
        <w:rPr>
          <w:rFonts w:hint="eastAsia" w:ascii="宋体" w:hAnsi="宋体" w:cs="宋体"/>
          <w:b/>
          <w:bCs/>
          <w:color w:val="auto"/>
          <w:sz w:val="32"/>
          <w:szCs w:val="32"/>
          <w:highlight w:val="none"/>
          <w:lang w:val="zh-CN"/>
        </w:rPr>
        <w:t>程序和内容</w:t>
      </w:r>
    </w:p>
    <w:p>
      <w:pPr>
        <w:autoSpaceDE w:val="0"/>
        <w:autoSpaceDN w:val="0"/>
        <w:adjustRightInd w:val="0"/>
        <w:spacing w:line="480" w:lineRule="auto"/>
        <w:ind w:firstLine="556"/>
        <w:rPr>
          <w:rFonts w:ascii="宋体" w:hAnsi="宋体" w:cs="宋体"/>
          <w:b/>
          <w:bCs/>
          <w:color w:val="auto"/>
          <w:sz w:val="32"/>
          <w:szCs w:val="32"/>
          <w:highlight w:val="none"/>
        </w:rPr>
      </w:pPr>
      <w:r>
        <w:rPr>
          <w:rFonts w:hint="eastAsia" w:ascii="宋体" w:hAnsi="宋体" w:cs="宋体"/>
          <w:b/>
          <w:bCs/>
          <w:color w:val="auto"/>
          <w:sz w:val="32"/>
          <w:szCs w:val="32"/>
          <w:highlight w:val="none"/>
        </w:rPr>
        <w:t>第五部分  合同签订与验收付款</w:t>
      </w:r>
    </w:p>
    <w:p>
      <w:pPr>
        <w:autoSpaceDE w:val="0"/>
        <w:autoSpaceDN w:val="0"/>
        <w:adjustRightInd w:val="0"/>
        <w:spacing w:line="480" w:lineRule="auto"/>
        <w:ind w:firstLine="556"/>
        <w:rPr>
          <w:rFonts w:ascii="宋体" w:hAnsi="宋体" w:cs="宋体"/>
          <w:b/>
          <w:bCs/>
          <w:color w:val="auto"/>
          <w:sz w:val="32"/>
          <w:szCs w:val="32"/>
          <w:highlight w:val="none"/>
        </w:rPr>
      </w:pPr>
      <w:r>
        <w:rPr>
          <w:rFonts w:hint="eastAsia" w:ascii="宋体" w:hAnsi="宋体" w:cs="宋体"/>
          <w:b/>
          <w:bCs/>
          <w:color w:val="auto"/>
          <w:sz w:val="32"/>
          <w:szCs w:val="32"/>
          <w:highlight w:val="none"/>
        </w:rPr>
        <w:t>第六部分  质疑提出和处理</w:t>
      </w:r>
    </w:p>
    <w:p>
      <w:pPr>
        <w:autoSpaceDE w:val="0"/>
        <w:autoSpaceDN w:val="0"/>
        <w:adjustRightInd w:val="0"/>
        <w:spacing w:line="480" w:lineRule="auto"/>
        <w:ind w:firstLine="556"/>
        <w:rPr>
          <w:rFonts w:ascii="宋体" w:hAnsi="宋体" w:cs="宋体"/>
          <w:b/>
          <w:bCs/>
          <w:color w:val="auto"/>
          <w:sz w:val="32"/>
          <w:szCs w:val="32"/>
          <w:highlight w:val="none"/>
        </w:rPr>
      </w:pPr>
      <w:r>
        <w:rPr>
          <w:rFonts w:hint="eastAsia" w:ascii="宋体" w:hAnsi="宋体" w:cs="宋体"/>
          <w:b/>
          <w:bCs/>
          <w:color w:val="auto"/>
          <w:sz w:val="32"/>
          <w:szCs w:val="32"/>
          <w:highlight w:val="none"/>
        </w:rPr>
        <w:t>第七部分  响应</w:t>
      </w:r>
      <w:r>
        <w:rPr>
          <w:rFonts w:hint="eastAsia" w:ascii="宋体" w:hAnsi="宋体" w:cs="宋体"/>
          <w:b/>
          <w:bCs/>
          <w:color w:val="auto"/>
          <w:sz w:val="32"/>
          <w:szCs w:val="32"/>
          <w:highlight w:val="none"/>
          <w:lang w:val="zh-CN"/>
        </w:rPr>
        <w:t>文件</w:t>
      </w:r>
      <w:r>
        <w:rPr>
          <w:rFonts w:hint="eastAsia" w:ascii="宋体" w:hAnsi="宋体" w:cs="宋体"/>
          <w:b/>
          <w:bCs/>
          <w:color w:val="auto"/>
          <w:sz w:val="32"/>
          <w:szCs w:val="32"/>
          <w:highlight w:val="none"/>
        </w:rPr>
        <w:t>组成</w:t>
      </w:r>
    </w:p>
    <w:p>
      <w:pPr>
        <w:autoSpaceDE w:val="0"/>
        <w:autoSpaceDN w:val="0"/>
        <w:adjustRightInd w:val="0"/>
        <w:spacing w:line="480" w:lineRule="auto"/>
        <w:ind w:firstLine="556"/>
        <w:rPr>
          <w:rFonts w:ascii="宋体" w:hAnsi="宋体" w:cs="宋体"/>
          <w:b/>
          <w:bCs/>
          <w:color w:val="auto"/>
          <w:sz w:val="32"/>
          <w:szCs w:val="32"/>
          <w:highlight w:val="none"/>
        </w:rPr>
      </w:pPr>
    </w:p>
    <w:p>
      <w:pPr>
        <w:autoSpaceDE w:val="0"/>
        <w:autoSpaceDN w:val="0"/>
        <w:adjustRightInd w:val="0"/>
        <w:spacing w:line="540" w:lineRule="exact"/>
        <w:jc w:val="center"/>
        <w:rPr>
          <w:rFonts w:ascii="宋体" w:hAnsi="宋体" w:cs="宋体"/>
          <w:b/>
          <w:bCs/>
          <w:color w:val="auto"/>
          <w:sz w:val="36"/>
          <w:szCs w:val="36"/>
          <w:highlight w:val="none"/>
          <w:lang w:val="zh-CN"/>
        </w:rPr>
      </w:pPr>
    </w:p>
    <w:p>
      <w:pPr>
        <w:autoSpaceDE w:val="0"/>
        <w:autoSpaceDN w:val="0"/>
        <w:adjustRightInd w:val="0"/>
        <w:spacing w:line="540" w:lineRule="exact"/>
        <w:rPr>
          <w:rFonts w:ascii="宋体" w:hAnsi="宋体" w:cs="宋体"/>
          <w:b/>
          <w:bCs/>
          <w:color w:val="auto"/>
          <w:sz w:val="36"/>
          <w:szCs w:val="36"/>
          <w:highlight w:val="none"/>
          <w:lang w:val="zh-CN"/>
        </w:rPr>
      </w:pPr>
    </w:p>
    <w:p>
      <w:pPr>
        <w:autoSpaceDE w:val="0"/>
        <w:autoSpaceDN w:val="0"/>
        <w:adjustRightInd w:val="0"/>
        <w:spacing w:line="540" w:lineRule="exact"/>
        <w:jc w:val="center"/>
        <w:rPr>
          <w:rFonts w:ascii="宋体" w:hAnsi="宋体" w:cs="宋体"/>
          <w:b/>
          <w:bCs/>
          <w:color w:val="auto"/>
          <w:sz w:val="36"/>
          <w:szCs w:val="36"/>
          <w:highlight w:val="none"/>
          <w:lang w:val="zh-CN"/>
        </w:rPr>
      </w:pPr>
    </w:p>
    <w:p>
      <w:pPr>
        <w:autoSpaceDE w:val="0"/>
        <w:autoSpaceDN w:val="0"/>
        <w:adjustRightInd w:val="0"/>
        <w:spacing w:line="540" w:lineRule="exact"/>
        <w:jc w:val="center"/>
        <w:rPr>
          <w:rFonts w:ascii="宋体" w:hAnsi="宋体" w:cs="宋体"/>
          <w:b/>
          <w:bCs/>
          <w:color w:val="auto"/>
          <w:sz w:val="36"/>
          <w:szCs w:val="36"/>
          <w:highlight w:val="none"/>
          <w:lang w:val="zh-CN"/>
        </w:rPr>
      </w:pPr>
    </w:p>
    <w:p>
      <w:pPr>
        <w:autoSpaceDE w:val="0"/>
        <w:autoSpaceDN w:val="0"/>
        <w:adjustRightInd w:val="0"/>
        <w:spacing w:line="540" w:lineRule="exact"/>
        <w:jc w:val="center"/>
        <w:rPr>
          <w:rFonts w:ascii="宋体" w:hAnsi="宋体" w:cs="宋体"/>
          <w:b/>
          <w:bCs/>
          <w:color w:val="auto"/>
          <w:sz w:val="36"/>
          <w:szCs w:val="36"/>
          <w:highlight w:val="none"/>
          <w:lang w:val="zh-CN"/>
        </w:rPr>
      </w:pPr>
    </w:p>
    <w:p>
      <w:pPr>
        <w:autoSpaceDE w:val="0"/>
        <w:autoSpaceDN w:val="0"/>
        <w:adjustRightInd w:val="0"/>
        <w:spacing w:line="540" w:lineRule="exact"/>
        <w:jc w:val="center"/>
        <w:rPr>
          <w:rFonts w:ascii="宋体" w:hAnsi="宋体" w:cs="宋体"/>
          <w:b/>
          <w:bCs/>
          <w:color w:val="auto"/>
          <w:sz w:val="36"/>
          <w:szCs w:val="36"/>
          <w:highlight w:val="none"/>
          <w:lang w:val="zh-CN"/>
        </w:rPr>
      </w:pPr>
    </w:p>
    <w:p>
      <w:pPr>
        <w:autoSpaceDE w:val="0"/>
        <w:autoSpaceDN w:val="0"/>
        <w:adjustRightInd w:val="0"/>
        <w:spacing w:line="540" w:lineRule="exact"/>
        <w:jc w:val="center"/>
        <w:rPr>
          <w:rFonts w:ascii="宋体" w:hAnsi="宋体" w:cs="宋体"/>
          <w:b/>
          <w:bCs/>
          <w:color w:val="auto"/>
          <w:sz w:val="36"/>
          <w:szCs w:val="36"/>
          <w:highlight w:val="none"/>
          <w:lang w:val="zh-CN"/>
        </w:rPr>
      </w:pPr>
    </w:p>
    <w:p>
      <w:pPr>
        <w:autoSpaceDE w:val="0"/>
        <w:autoSpaceDN w:val="0"/>
        <w:adjustRightInd w:val="0"/>
        <w:spacing w:line="540" w:lineRule="exact"/>
        <w:jc w:val="center"/>
        <w:rPr>
          <w:rFonts w:ascii="宋体" w:hAnsi="宋体" w:cs="宋体"/>
          <w:b/>
          <w:bCs/>
          <w:color w:val="auto"/>
          <w:sz w:val="36"/>
          <w:szCs w:val="36"/>
          <w:highlight w:val="none"/>
          <w:lang w:val="zh-CN"/>
        </w:rPr>
      </w:pPr>
    </w:p>
    <w:p>
      <w:pPr>
        <w:autoSpaceDE w:val="0"/>
        <w:autoSpaceDN w:val="0"/>
        <w:adjustRightInd w:val="0"/>
        <w:snapToGrid w:val="0"/>
        <w:spacing w:line="300" w:lineRule="auto"/>
        <w:rPr>
          <w:rFonts w:ascii="宋体" w:hAnsi="宋体" w:cs="宋体"/>
          <w:b/>
          <w:bCs/>
          <w:color w:val="auto"/>
          <w:sz w:val="36"/>
          <w:szCs w:val="36"/>
          <w:highlight w:val="none"/>
          <w:lang w:val="zh-CN"/>
        </w:rPr>
      </w:pPr>
    </w:p>
    <w:p>
      <w:pPr>
        <w:autoSpaceDE w:val="0"/>
        <w:autoSpaceDN w:val="0"/>
        <w:adjustRightInd w:val="0"/>
        <w:snapToGrid w:val="0"/>
        <w:spacing w:line="300" w:lineRule="auto"/>
        <w:jc w:val="center"/>
        <w:outlineLvl w:val="0"/>
        <w:rPr>
          <w:rFonts w:ascii="宋体" w:hAnsi="宋体" w:cs="宋体"/>
          <w:b/>
          <w:bCs/>
          <w:color w:val="auto"/>
          <w:sz w:val="36"/>
          <w:szCs w:val="36"/>
          <w:highlight w:val="none"/>
          <w:lang w:val="zh-CN"/>
        </w:rPr>
      </w:pPr>
    </w:p>
    <w:p>
      <w:pPr>
        <w:autoSpaceDE w:val="0"/>
        <w:autoSpaceDN w:val="0"/>
        <w:adjustRightInd w:val="0"/>
        <w:snapToGrid w:val="0"/>
        <w:spacing w:line="300" w:lineRule="auto"/>
        <w:jc w:val="center"/>
        <w:outlineLvl w:val="0"/>
        <w:rPr>
          <w:rFonts w:ascii="宋体" w:hAnsi="宋体" w:cs="宋体"/>
          <w:b/>
          <w:bCs/>
          <w:color w:val="auto"/>
          <w:sz w:val="36"/>
          <w:szCs w:val="36"/>
          <w:highlight w:val="none"/>
          <w:lang w:val="zh-CN"/>
        </w:rPr>
        <w:sectPr>
          <w:pgSz w:w="11907" w:h="16839"/>
          <w:pgMar w:top="1440" w:right="726" w:bottom="873" w:left="1236" w:header="720" w:footer="720" w:gutter="0"/>
          <w:cols w:space="720" w:num="1"/>
          <w:docGrid w:linePitch="286" w:charSpace="0"/>
        </w:sectPr>
      </w:pPr>
    </w:p>
    <w:p>
      <w:pPr>
        <w:numPr>
          <w:ilvl w:val="0"/>
          <w:numId w:val="1"/>
        </w:numPr>
        <w:autoSpaceDE w:val="0"/>
        <w:autoSpaceDN w:val="0"/>
        <w:adjustRightInd w:val="0"/>
        <w:snapToGrid w:val="0"/>
        <w:spacing w:line="300" w:lineRule="auto"/>
        <w:jc w:val="center"/>
        <w:outlineLvl w:val="0"/>
        <w:rPr>
          <w:rFonts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t xml:space="preserve"> 竞争性磋商邀请</w:t>
      </w:r>
    </w:p>
    <w:p>
      <w:pPr>
        <w:pStyle w:val="9"/>
        <w:rPr>
          <w:rFonts w:ascii="宋体" w:hAnsi="宋体" w:cs="宋体"/>
          <w:color w:val="auto"/>
          <w:highlight w:val="none"/>
          <w:lang w:val="zh-CN"/>
        </w:rPr>
      </w:pPr>
    </w:p>
    <w:p>
      <w:pPr>
        <w:snapToGrid w:val="0"/>
        <w:spacing w:line="300" w:lineRule="auto"/>
        <w:ind w:firstLine="555"/>
        <w:rPr>
          <w:rFonts w:ascii="宋体" w:hAnsi="宋体" w:cs="宋体"/>
          <w:color w:val="auto"/>
          <w:sz w:val="28"/>
          <w:szCs w:val="28"/>
          <w:highlight w:val="none"/>
        </w:rPr>
      </w:pPr>
      <w:r>
        <w:rPr>
          <w:rFonts w:hint="eastAsia" w:ascii="宋体" w:hAnsi="宋体" w:cs="宋体"/>
          <w:color w:val="auto"/>
          <w:sz w:val="28"/>
          <w:szCs w:val="28"/>
          <w:highlight w:val="none"/>
        </w:rPr>
        <w:t>江苏中润工程建设咨询有限公司（以下简称“采购代理机构”）受</w:t>
      </w:r>
      <w:r>
        <w:rPr>
          <w:rFonts w:hint="eastAsia" w:ascii="宋体" w:hAnsi="宋体" w:cs="宋体"/>
          <w:b/>
          <w:bCs/>
          <w:color w:val="auto"/>
          <w:sz w:val="28"/>
          <w:szCs w:val="28"/>
          <w:highlight w:val="none"/>
          <w:u w:val="single"/>
        </w:rPr>
        <w:t>南通市第二中学</w:t>
      </w:r>
      <w:r>
        <w:rPr>
          <w:rFonts w:hint="eastAsia" w:ascii="宋体" w:hAnsi="宋体" w:cs="宋体"/>
          <w:color w:val="auto"/>
          <w:sz w:val="28"/>
          <w:szCs w:val="28"/>
          <w:highlight w:val="none"/>
        </w:rPr>
        <w:t>委托，对其所需的</w:t>
      </w:r>
      <w:r>
        <w:rPr>
          <w:rFonts w:hint="eastAsia" w:ascii="宋体" w:hAnsi="宋体" w:cs="宋体"/>
          <w:b/>
          <w:bCs/>
          <w:color w:val="auto"/>
          <w:sz w:val="28"/>
          <w:szCs w:val="28"/>
          <w:highlight w:val="none"/>
          <w:u w:val="single"/>
        </w:rPr>
        <w:t>南通市第二中学空调、空气能维保项目</w:t>
      </w:r>
      <w:r>
        <w:rPr>
          <w:rFonts w:hint="eastAsia" w:ascii="宋体" w:hAnsi="宋体" w:cs="宋体"/>
          <w:color w:val="auto"/>
          <w:sz w:val="28"/>
          <w:szCs w:val="28"/>
          <w:highlight w:val="none"/>
        </w:rPr>
        <w:t>拟采取竞争性磋商方式采购。现公告如下：</w:t>
      </w:r>
    </w:p>
    <w:p>
      <w:pPr>
        <w:snapToGrid w:val="0"/>
        <w:spacing w:line="300" w:lineRule="auto"/>
        <w:ind w:firstLine="555"/>
        <w:contextualSpacing/>
        <w:rPr>
          <w:rFonts w:ascii="宋体" w:hAnsi="宋体" w:cs="宋体"/>
          <w:color w:val="auto"/>
          <w:sz w:val="28"/>
          <w:szCs w:val="28"/>
          <w:highlight w:val="none"/>
        </w:rPr>
      </w:pPr>
      <w:r>
        <w:rPr>
          <w:rFonts w:hint="eastAsia" w:ascii="宋体" w:hAnsi="宋体" w:cs="宋体"/>
          <w:b/>
          <w:color w:val="auto"/>
          <w:sz w:val="28"/>
          <w:szCs w:val="28"/>
          <w:highlight w:val="none"/>
        </w:rPr>
        <w:t>一、项目名称及编号</w:t>
      </w:r>
      <w:r>
        <w:rPr>
          <w:rFonts w:hint="eastAsia" w:ascii="宋体" w:hAnsi="宋体" w:cs="宋体"/>
          <w:color w:val="auto"/>
          <w:sz w:val="28"/>
          <w:szCs w:val="28"/>
          <w:highlight w:val="none"/>
        </w:rPr>
        <w:t>：</w:t>
      </w:r>
    </w:p>
    <w:p>
      <w:pPr>
        <w:snapToGrid w:val="0"/>
        <w:spacing w:line="300" w:lineRule="auto"/>
        <w:ind w:firstLine="555"/>
        <w:contextualSpacing/>
        <w:rPr>
          <w:rFonts w:ascii="宋体" w:hAnsi="宋体" w:cs="宋体"/>
          <w:color w:val="auto"/>
          <w:sz w:val="28"/>
          <w:szCs w:val="28"/>
          <w:highlight w:val="none"/>
        </w:rPr>
      </w:pPr>
      <w:r>
        <w:rPr>
          <w:rFonts w:hint="eastAsia" w:ascii="宋体" w:hAnsi="宋体" w:cs="宋体"/>
          <w:color w:val="auto"/>
          <w:sz w:val="28"/>
          <w:szCs w:val="28"/>
          <w:highlight w:val="none"/>
        </w:rPr>
        <w:t>项目名称：南通市第二中学空调、空气能维保项目</w:t>
      </w:r>
    </w:p>
    <w:p>
      <w:pPr>
        <w:snapToGrid w:val="0"/>
        <w:spacing w:line="300" w:lineRule="auto"/>
        <w:ind w:firstLine="548" w:firstLineChars="196"/>
        <w:contextualSpacing/>
        <w:rPr>
          <w:rFonts w:ascii="宋体" w:hAnsi="宋体" w:cs="宋体"/>
          <w:color w:val="auto"/>
          <w:sz w:val="28"/>
          <w:szCs w:val="28"/>
          <w:highlight w:val="none"/>
        </w:rPr>
      </w:pPr>
      <w:r>
        <w:rPr>
          <w:rFonts w:hint="eastAsia" w:ascii="宋体" w:hAnsi="宋体" w:cs="宋体"/>
          <w:color w:val="auto"/>
          <w:sz w:val="28"/>
          <w:szCs w:val="28"/>
          <w:highlight w:val="none"/>
        </w:rPr>
        <w:t>项目编号：ZRNT20220681</w:t>
      </w:r>
    </w:p>
    <w:p>
      <w:pPr>
        <w:snapToGrid w:val="0"/>
        <w:spacing w:line="300" w:lineRule="auto"/>
        <w:ind w:firstLine="562" w:firstLineChars="200"/>
        <w:contextualSpacing/>
        <w:rPr>
          <w:rFonts w:ascii="宋体" w:hAnsi="宋体" w:cs="宋体"/>
          <w:b/>
          <w:color w:val="auto"/>
          <w:sz w:val="28"/>
          <w:szCs w:val="28"/>
          <w:highlight w:val="none"/>
        </w:rPr>
      </w:pPr>
      <w:r>
        <w:rPr>
          <w:rFonts w:hint="eastAsia" w:ascii="宋体" w:hAnsi="宋体" w:cs="宋体"/>
          <w:b/>
          <w:color w:val="auto"/>
          <w:sz w:val="28"/>
          <w:szCs w:val="28"/>
          <w:highlight w:val="none"/>
        </w:rPr>
        <w:t>二、采购预算：</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本项目采购预算为9.8万元/年。报价超过采购预算的为无效响应文件。</w:t>
      </w:r>
    </w:p>
    <w:p>
      <w:pPr>
        <w:numPr>
          <w:ilvl w:val="0"/>
          <w:numId w:val="2"/>
        </w:numPr>
        <w:snapToGrid w:val="0"/>
        <w:spacing w:line="300" w:lineRule="auto"/>
        <w:ind w:firstLine="562" w:firstLineChars="200"/>
        <w:contextualSpacing/>
        <w:rPr>
          <w:rFonts w:ascii="宋体" w:hAnsi="宋体" w:cs="宋体"/>
          <w:b/>
          <w:color w:val="auto"/>
          <w:sz w:val="28"/>
          <w:szCs w:val="28"/>
          <w:highlight w:val="none"/>
        </w:rPr>
      </w:pPr>
      <w:r>
        <w:rPr>
          <w:rFonts w:hint="eastAsia" w:ascii="宋体" w:hAnsi="宋体" w:cs="宋体"/>
          <w:b/>
          <w:color w:val="auto"/>
          <w:sz w:val="28"/>
          <w:szCs w:val="28"/>
          <w:highlight w:val="none"/>
        </w:rPr>
        <w:t>服务期限</w:t>
      </w:r>
      <w:r>
        <w:rPr>
          <w:rFonts w:hint="eastAsia" w:ascii="宋体" w:hAnsi="宋体" w:cs="宋体"/>
          <w:color w:val="auto"/>
          <w:sz w:val="24"/>
          <w:highlight w:val="none"/>
        </w:rPr>
        <w:t>：</w:t>
      </w:r>
      <w:r>
        <w:rPr>
          <w:rFonts w:hint="eastAsia" w:ascii="宋体" w:hAnsi="宋体" w:cs="宋体"/>
          <w:color w:val="auto"/>
          <w:sz w:val="28"/>
          <w:szCs w:val="28"/>
          <w:highlight w:val="none"/>
        </w:rPr>
        <w:t>一年（自2022年6月19日起至2023年6月18日止）。如成交供应商服务质量高，采购人满意，可以采取1+N年［N≤2］方式续签合同。</w:t>
      </w:r>
    </w:p>
    <w:p>
      <w:pPr>
        <w:numPr>
          <w:ilvl w:val="0"/>
          <w:numId w:val="2"/>
        </w:numPr>
        <w:snapToGrid w:val="0"/>
        <w:spacing w:line="300" w:lineRule="auto"/>
        <w:ind w:firstLine="562" w:firstLineChars="200"/>
        <w:contextualSpacing/>
        <w:rPr>
          <w:rFonts w:ascii="宋体" w:hAnsi="宋体" w:cs="宋体"/>
          <w:b/>
          <w:color w:val="auto"/>
          <w:sz w:val="28"/>
          <w:szCs w:val="28"/>
          <w:highlight w:val="none"/>
        </w:rPr>
      </w:pPr>
      <w:r>
        <w:rPr>
          <w:rFonts w:hint="eastAsia" w:ascii="宋体" w:hAnsi="宋体" w:cs="宋体"/>
          <w:b/>
          <w:color w:val="auto"/>
          <w:sz w:val="28"/>
          <w:szCs w:val="28"/>
          <w:highlight w:val="none"/>
        </w:rPr>
        <w:t>项目需求说明：</w:t>
      </w:r>
    </w:p>
    <w:p>
      <w:pPr>
        <w:autoSpaceDE w:val="0"/>
        <w:autoSpaceDN w:val="0"/>
        <w:adjustRightInd w:val="0"/>
        <w:snapToGrid w:val="0"/>
        <w:spacing w:line="300" w:lineRule="auto"/>
        <w:ind w:firstLine="560" w:firstLineChars="200"/>
        <w:outlineLvl w:val="0"/>
        <w:rPr>
          <w:rFonts w:ascii="宋体" w:hAnsi="宋体" w:cs="宋体"/>
          <w:color w:val="auto"/>
          <w:sz w:val="28"/>
          <w:szCs w:val="28"/>
          <w:highlight w:val="none"/>
        </w:rPr>
      </w:pPr>
      <w:r>
        <w:rPr>
          <w:rFonts w:hint="eastAsia" w:ascii="宋体" w:hAnsi="宋体" w:cs="宋体"/>
          <w:color w:val="auto"/>
          <w:sz w:val="28"/>
          <w:szCs w:val="28"/>
          <w:highlight w:val="none"/>
        </w:rPr>
        <w:t>项目需求说明详</w:t>
      </w:r>
      <w:r>
        <w:rPr>
          <w:rFonts w:hint="eastAsia" w:ascii="宋体" w:hAnsi="宋体" w:cs="宋体"/>
          <w:color w:val="auto"/>
          <w:sz w:val="28"/>
          <w:szCs w:val="28"/>
          <w:highlight w:val="none"/>
          <w:lang w:val="zh-CN"/>
        </w:rPr>
        <w:t>见《第三部分 项目需求》，</w:t>
      </w:r>
      <w:r>
        <w:rPr>
          <w:rFonts w:hint="eastAsia" w:ascii="宋体" w:hAnsi="宋体" w:cs="宋体"/>
          <w:color w:val="auto"/>
          <w:kern w:val="0"/>
          <w:sz w:val="28"/>
          <w:szCs w:val="28"/>
          <w:highlight w:val="none"/>
          <w:lang w:val="zh-CN"/>
        </w:rPr>
        <w:t>请仔细研究。</w:t>
      </w:r>
    </w:p>
    <w:p>
      <w:pPr>
        <w:snapToGrid w:val="0"/>
        <w:spacing w:line="300" w:lineRule="auto"/>
        <w:ind w:firstLine="562" w:firstLineChars="200"/>
        <w:contextualSpacing/>
        <w:rPr>
          <w:rFonts w:ascii="宋体" w:hAnsi="宋体" w:cs="宋体"/>
          <w:color w:val="auto"/>
          <w:sz w:val="28"/>
          <w:szCs w:val="28"/>
          <w:highlight w:val="none"/>
        </w:rPr>
      </w:pPr>
      <w:r>
        <w:rPr>
          <w:rFonts w:hint="eastAsia" w:ascii="宋体" w:hAnsi="宋体" w:cs="宋体"/>
          <w:b/>
          <w:color w:val="auto"/>
          <w:sz w:val="28"/>
          <w:szCs w:val="28"/>
          <w:highlight w:val="none"/>
        </w:rPr>
        <w:t>五、供应商资格要求</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（一）供应商参加磋商应当具备的条件：</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1、具备独立承担民事责任的能力；</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2、具有良好的商业信誉和健全的财务会计制度；</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3、具有履行合同所必需的设备和专业技术能力；</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4、有依法缴纳税收和社会保障资金的良好记录；</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5、参加本次采购活动前三年内，在经营活动中没有重大违法记录；</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6、法律、行政法规规定的其他条件。</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（二）供应商其他资格要求及应提供的资料：</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1、法人或者其他组织的营业执照等证明文件；营业执照中具有空调等制冷设备的销售、安装、维修、保养相关经营范围。</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2、上一年度财务状况报告，2022年依法缴纳税收和社会保障资金的相关资料；</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3、具备履行合同所必需的设备和专业技术能力的证明材料：</w:t>
      </w:r>
    </w:p>
    <w:p>
      <w:pPr>
        <w:pStyle w:val="2"/>
        <w:ind w:firstLine="560" w:firstLineChars="200"/>
        <w:rPr>
          <w:rFonts w:ascii="宋体" w:hAnsi="宋体" w:eastAsia="宋体" w:cs="宋体"/>
          <w:color w:val="auto"/>
          <w:sz w:val="28"/>
          <w:szCs w:val="28"/>
          <w:highlight w:val="none"/>
        </w:rPr>
      </w:pPr>
      <w:r>
        <w:rPr>
          <w:rFonts w:hint="eastAsia" w:ascii="宋体" w:hAnsi="宋体" w:cs="宋体"/>
          <w:color w:val="auto"/>
          <w:sz w:val="28"/>
          <w:szCs w:val="28"/>
          <w:highlight w:val="none"/>
        </w:rPr>
        <w:t>4、</w:t>
      </w:r>
      <w:r>
        <w:rPr>
          <w:rFonts w:hint="eastAsia" w:ascii="宋体" w:hAnsi="宋体" w:eastAsia="宋体" w:cs="宋体"/>
          <w:color w:val="auto"/>
          <w:sz w:val="28"/>
          <w:szCs w:val="28"/>
          <w:highlight w:val="none"/>
        </w:rPr>
        <w:t>提供在南通本地售后服务机构（含代维机构）的证明材料（包括具体位置及店面内维修主材照片）；</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5、参加政府采购活动前三年内，在经营活动中没有重大违法记录的书面申明；</w:t>
      </w:r>
    </w:p>
    <w:p>
      <w:pPr>
        <w:pStyle w:val="2"/>
        <w:ind w:firstLine="560" w:firstLineChars="200"/>
        <w:rPr>
          <w:rFonts w:ascii="宋体" w:hAnsi="宋体" w:eastAsia="宋体" w:cs="宋体"/>
          <w:color w:val="auto"/>
          <w:sz w:val="28"/>
          <w:szCs w:val="28"/>
          <w:highlight w:val="none"/>
        </w:rPr>
      </w:pPr>
    </w:p>
    <w:p>
      <w:pPr>
        <w:pStyle w:val="2"/>
        <w:ind w:firstLine="560" w:firstLineChars="200"/>
        <w:rPr>
          <w:rFonts w:ascii="宋体" w:hAnsi="宋体" w:eastAsia="宋体" w:cs="宋体"/>
          <w:color w:val="auto"/>
          <w:sz w:val="28"/>
          <w:szCs w:val="28"/>
          <w:highlight w:val="none"/>
        </w:rPr>
      </w:pPr>
      <w:r>
        <w:rPr>
          <w:rFonts w:hint="eastAsia" w:ascii="宋体" w:hAnsi="宋体" w:cs="宋体"/>
          <w:color w:val="auto"/>
          <w:sz w:val="28"/>
          <w:szCs w:val="28"/>
          <w:highlight w:val="none"/>
        </w:rPr>
        <w:t>6、</w:t>
      </w:r>
      <w:r>
        <w:rPr>
          <w:rFonts w:hint="eastAsia" w:ascii="宋体" w:hAnsi="宋体" w:eastAsia="宋体" w:cs="宋体"/>
          <w:color w:val="auto"/>
          <w:sz w:val="28"/>
          <w:szCs w:val="28"/>
          <w:highlight w:val="none"/>
        </w:rPr>
        <w:t>本项目不接受联合体参与投标；</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7、不接受单位负责人为同一人或者存在控股、管理关系的不同单位参与同一项目投标。</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（三）其他事项：</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1、为确保政府采购守法供应商公平参加政府采购活动，采购代理机构将在磋商开始后一个小时内，通过信用中国网站对供应商信用信息进行查询查证，并将查询记录截屏打印保存在采购档案内。</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2、对列入失信被执行人、重大税收违法案件当事人名单、政府采购严重违法失信行为记录及其他不符合《中华人民共和国政府采购法》第二十二条规定条件的供应商，将拒绝其参与政府采购活动。</w:t>
      </w:r>
    </w:p>
    <w:p>
      <w:pPr>
        <w:snapToGrid w:val="0"/>
        <w:spacing w:line="300" w:lineRule="auto"/>
        <w:ind w:firstLine="562" w:firstLineChars="200"/>
        <w:contextualSpacing/>
        <w:rPr>
          <w:rFonts w:ascii="宋体" w:hAnsi="宋体" w:cs="宋体"/>
          <w:b/>
          <w:bCs/>
          <w:color w:val="auto"/>
          <w:sz w:val="28"/>
          <w:szCs w:val="28"/>
          <w:highlight w:val="none"/>
        </w:rPr>
      </w:pPr>
      <w:r>
        <w:rPr>
          <w:rFonts w:hint="eastAsia" w:ascii="宋体" w:hAnsi="宋体" w:cs="宋体"/>
          <w:b/>
          <w:bCs/>
          <w:color w:val="auto"/>
          <w:sz w:val="28"/>
          <w:szCs w:val="28"/>
          <w:highlight w:val="none"/>
        </w:rPr>
        <w:t>请各供应商认真对照资格条件，以上有关资质证明均需在投标响应文件中提供，原件带至现场备查。如不符合要求的，无意或故意参与磋商所产生的一切后果由供应商自行承担。</w:t>
      </w:r>
    </w:p>
    <w:p>
      <w:pPr>
        <w:snapToGrid w:val="0"/>
        <w:spacing w:line="300" w:lineRule="auto"/>
        <w:ind w:firstLine="555"/>
        <w:contextualSpacing/>
        <w:rPr>
          <w:rFonts w:ascii="宋体" w:hAnsi="宋体" w:cs="宋体"/>
          <w:b/>
          <w:color w:val="auto"/>
          <w:sz w:val="28"/>
          <w:szCs w:val="28"/>
          <w:highlight w:val="none"/>
        </w:rPr>
      </w:pPr>
      <w:r>
        <w:rPr>
          <w:rFonts w:hint="eastAsia" w:ascii="宋体" w:hAnsi="宋体" w:cs="宋体"/>
          <w:b/>
          <w:color w:val="auto"/>
          <w:sz w:val="28"/>
          <w:szCs w:val="28"/>
          <w:highlight w:val="none"/>
        </w:rPr>
        <w:t>六、磋商公告媒体</w:t>
      </w:r>
    </w:p>
    <w:p>
      <w:pPr>
        <w:snapToGrid w:val="0"/>
        <w:spacing w:line="300" w:lineRule="auto"/>
        <w:ind w:firstLine="555"/>
        <w:contextualSpacing/>
        <w:rPr>
          <w:rFonts w:ascii="宋体" w:hAnsi="宋体" w:cs="宋体"/>
          <w:color w:val="auto"/>
          <w:sz w:val="28"/>
          <w:szCs w:val="28"/>
          <w:highlight w:val="none"/>
        </w:rPr>
      </w:pPr>
      <w:r>
        <w:rPr>
          <w:rFonts w:hint="eastAsia" w:ascii="宋体" w:hAnsi="宋体" w:cs="宋体"/>
          <w:color w:val="auto"/>
          <w:sz w:val="28"/>
          <w:szCs w:val="28"/>
          <w:highlight w:val="none"/>
        </w:rPr>
        <w:t>本项目磋商公告及采购文件在“南通市教育局网”和“南通市第二中学网”发布。</w:t>
      </w:r>
    </w:p>
    <w:p>
      <w:pPr>
        <w:snapToGrid w:val="0"/>
        <w:spacing w:line="300" w:lineRule="auto"/>
        <w:ind w:firstLine="555"/>
        <w:contextualSpacing/>
        <w:rPr>
          <w:rFonts w:ascii="宋体" w:hAnsi="宋体" w:cs="宋体"/>
          <w:b/>
          <w:color w:val="auto"/>
          <w:sz w:val="28"/>
          <w:szCs w:val="28"/>
          <w:highlight w:val="none"/>
        </w:rPr>
      </w:pPr>
      <w:r>
        <w:rPr>
          <w:rFonts w:hint="eastAsia" w:ascii="宋体" w:hAnsi="宋体" w:cs="宋体"/>
          <w:b/>
          <w:color w:val="auto"/>
          <w:sz w:val="28"/>
          <w:szCs w:val="28"/>
          <w:highlight w:val="none"/>
        </w:rPr>
        <w:t>七、磋商保证金</w:t>
      </w:r>
    </w:p>
    <w:p>
      <w:pPr>
        <w:spacing w:line="360" w:lineRule="auto"/>
        <w:ind w:firstLine="562" w:firstLineChars="200"/>
        <w:rPr>
          <w:rFonts w:ascii="宋体" w:hAnsi="宋体" w:cs="宋体"/>
          <w:color w:val="auto"/>
          <w:sz w:val="28"/>
          <w:szCs w:val="28"/>
          <w:highlight w:val="none"/>
        </w:rPr>
      </w:pPr>
      <w:r>
        <w:rPr>
          <w:rFonts w:hint="eastAsia" w:ascii="宋体" w:hAnsi="宋体" w:cs="宋体"/>
          <w:b/>
          <w:color w:val="auto"/>
          <w:sz w:val="28"/>
          <w:szCs w:val="28"/>
          <w:highlight w:val="none"/>
          <w:lang w:val="zh-CN"/>
        </w:rPr>
        <w:t>无</w:t>
      </w:r>
    </w:p>
    <w:p>
      <w:pPr>
        <w:snapToGrid w:val="0"/>
        <w:spacing w:line="300" w:lineRule="auto"/>
        <w:ind w:firstLine="562" w:firstLineChars="200"/>
        <w:contextualSpacing/>
        <w:rPr>
          <w:rFonts w:ascii="宋体" w:hAnsi="宋体" w:cs="宋体"/>
          <w:b/>
          <w:color w:val="auto"/>
          <w:sz w:val="28"/>
          <w:szCs w:val="28"/>
          <w:highlight w:val="none"/>
        </w:rPr>
      </w:pPr>
      <w:r>
        <w:rPr>
          <w:rFonts w:hint="eastAsia" w:ascii="宋体" w:hAnsi="宋体" w:cs="宋体"/>
          <w:b/>
          <w:color w:val="auto"/>
          <w:sz w:val="28"/>
          <w:szCs w:val="28"/>
          <w:highlight w:val="none"/>
        </w:rPr>
        <w:t>八、磋商文件下载、响应文件递交</w:t>
      </w:r>
    </w:p>
    <w:p>
      <w:pPr>
        <w:snapToGrid w:val="0"/>
        <w:spacing w:line="300" w:lineRule="auto"/>
        <w:ind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rPr>
        <w:t>1、</w:t>
      </w:r>
      <w:r>
        <w:rPr>
          <w:rFonts w:hint="eastAsia" w:ascii="宋体" w:hAnsi="宋体" w:cs="宋体"/>
          <w:snapToGrid w:val="0"/>
          <w:color w:val="auto"/>
          <w:sz w:val="28"/>
          <w:szCs w:val="28"/>
          <w:highlight w:val="none"/>
        </w:rPr>
        <w:t>下载磋商文件：</w:t>
      </w:r>
      <w:r>
        <w:rPr>
          <w:rFonts w:hint="eastAsia" w:ascii="宋体" w:hAnsi="宋体" w:cs="宋体"/>
          <w:color w:val="auto"/>
          <w:sz w:val="28"/>
          <w:szCs w:val="28"/>
          <w:highlight w:val="none"/>
          <w:lang w:val="zh-CN"/>
        </w:rPr>
        <w:t>自本公告发布之日起可在本项目公告附件中下载本项目磋商文件。</w:t>
      </w:r>
    </w:p>
    <w:p>
      <w:pPr>
        <w:snapToGrid w:val="0"/>
        <w:spacing w:line="300" w:lineRule="auto"/>
        <w:ind w:firstLine="560" w:firstLineChars="200"/>
        <w:contextualSpacing/>
        <w:rPr>
          <w:rFonts w:ascii="宋体" w:hAnsi="宋体" w:cs="宋体"/>
          <w:b/>
          <w:color w:val="auto"/>
          <w:sz w:val="28"/>
          <w:szCs w:val="28"/>
          <w:highlight w:val="none"/>
        </w:rPr>
      </w:pPr>
      <w:r>
        <w:rPr>
          <w:rFonts w:hint="eastAsia" w:ascii="宋体" w:hAnsi="宋体" w:cs="宋体"/>
          <w:color w:val="auto"/>
          <w:sz w:val="28"/>
          <w:szCs w:val="28"/>
          <w:highlight w:val="none"/>
        </w:rPr>
        <w:t>2、提交响应文件：供应商在磋商开始时间之前，向采购代理机构提交磋商响应文件。</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时间：2022年6月15日10:00时</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地点：江苏中润工程建设咨询有限公司开标室。如有变动，另行通知。</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地址：崇川路58号南通产业技术研究院9号楼10楼1003</w:t>
      </w:r>
    </w:p>
    <w:p>
      <w:pPr>
        <w:snapToGrid w:val="0"/>
        <w:spacing w:line="300" w:lineRule="auto"/>
        <w:ind w:firstLine="562" w:firstLineChars="200"/>
        <w:contextualSpacing/>
        <w:rPr>
          <w:rFonts w:ascii="宋体" w:hAnsi="宋体" w:cs="宋体"/>
          <w:b/>
          <w:color w:val="auto"/>
          <w:sz w:val="28"/>
          <w:szCs w:val="28"/>
          <w:highlight w:val="none"/>
        </w:rPr>
      </w:pPr>
      <w:r>
        <w:rPr>
          <w:rFonts w:hint="eastAsia" w:ascii="宋体" w:hAnsi="宋体" w:cs="宋体"/>
          <w:b/>
          <w:color w:val="auto"/>
          <w:sz w:val="28"/>
          <w:szCs w:val="28"/>
          <w:highlight w:val="none"/>
        </w:rPr>
        <w:t>九、采购项目联系人</w:t>
      </w:r>
    </w:p>
    <w:p>
      <w:pPr>
        <w:snapToGrid w:val="0"/>
        <w:spacing w:line="300" w:lineRule="auto"/>
        <w:ind w:firstLine="560" w:firstLineChars="200"/>
        <w:contextualSpacing/>
        <w:jc w:val="left"/>
        <w:rPr>
          <w:rFonts w:ascii="宋体" w:hAnsi="宋体" w:cs="宋体"/>
          <w:color w:val="auto"/>
          <w:sz w:val="28"/>
          <w:szCs w:val="28"/>
          <w:highlight w:val="none"/>
        </w:rPr>
      </w:pPr>
      <w:r>
        <w:rPr>
          <w:rFonts w:hint="eastAsia" w:ascii="宋体" w:hAnsi="宋体" w:cs="宋体"/>
          <w:color w:val="auto"/>
          <w:sz w:val="28"/>
          <w:szCs w:val="28"/>
          <w:highlight w:val="none"/>
        </w:rPr>
        <w:t>代理机构联系人：王工</w:t>
      </w:r>
    </w:p>
    <w:p>
      <w:pPr>
        <w:snapToGrid w:val="0"/>
        <w:spacing w:line="300" w:lineRule="auto"/>
        <w:ind w:firstLine="560" w:firstLineChars="200"/>
        <w:contextualSpacing/>
        <w:jc w:val="left"/>
        <w:rPr>
          <w:rFonts w:ascii="宋体" w:hAnsi="宋体" w:cs="宋体"/>
          <w:color w:val="auto"/>
          <w:sz w:val="28"/>
          <w:szCs w:val="28"/>
          <w:highlight w:val="none"/>
        </w:rPr>
      </w:pPr>
      <w:r>
        <w:rPr>
          <w:rFonts w:hint="eastAsia" w:ascii="宋体" w:hAnsi="宋体" w:cs="宋体"/>
          <w:color w:val="auto"/>
          <w:sz w:val="28"/>
          <w:szCs w:val="28"/>
          <w:highlight w:val="none"/>
        </w:rPr>
        <w:t>邮箱：279366603@qq.com</w:t>
      </w:r>
    </w:p>
    <w:p>
      <w:pPr>
        <w:snapToGrid w:val="0"/>
        <w:spacing w:line="300" w:lineRule="auto"/>
        <w:ind w:firstLine="560" w:firstLineChars="200"/>
        <w:contextualSpacing/>
        <w:jc w:val="left"/>
        <w:rPr>
          <w:rFonts w:ascii="宋体" w:hAnsi="宋体" w:cs="宋体"/>
          <w:color w:val="auto"/>
          <w:sz w:val="28"/>
          <w:szCs w:val="28"/>
          <w:highlight w:val="none"/>
        </w:rPr>
      </w:pPr>
      <w:r>
        <w:rPr>
          <w:rFonts w:hint="eastAsia" w:ascii="宋体" w:hAnsi="宋体" w:cs="宋体"/>
          <w:color w:val="auto"/>
          <w:sz w:val="28"/>
          <w:szCs w:val="28"/>
          <w:highlight w:val="none"/>
        </w:rPr>
        <w:t>采购单位联系人：吴老师，电话：0513-89178518</w:t>
      </w:r>
    </w:p>
    <w:p>
      <w:pPr>
        <w:pStyle w:val="2"/>
        <w:rPr>
          <w:color w:val="auto"/>
          <w:highlight w:val="none"/>
        </w:rPr>
      </w:pPr>
      <w:r>
        <w:rPr>
          <w:rFonts w:hint="eastAsia" w:ascii="宋体" w:hAnsi="宋体" w:eastAsia="宋体" w:cs="宋体"/>
          <w:color w:val="auto"/>
          <w:sz w:val="28"/>
          <w:szCs w:val="28"/>
          <w:highlight w:val="none"/>
        </w:rPr>
        <w:t>采购单位监督人：王老师，电话：</w:t>
      </w:r>
      <w:r>
        <w:rPr>
          <w:rFonts w:ascii="宋体" w:hAnsi="宋体" w:eastAsia="宋体" w:cs="宋体"/>
          <w:color w:val="auto"/>
          <w:sz w:val="28"/>
          <w:szCs w:val="28"/>
          <w:highlight w:val="none"/>
        </w:rPr>
        <w:t>0513-8917</w:t>
      </w:r>
      <w:r>
        <w:rPr>
          <w:rFonts w:hint="eastAsia" w:ascii="宋体" w:hAnsi="宋体" w:eastAsia="宋体" w:cs="宋体"/>
          <w:color w:val="auto"/>
          <w:sz w:val="28"/>
          <w:szCs w:val="28"/>
          <w:highlight w:val="none"/>
        </w:rPr>
        <w:t>8666</w:t>
      </w:r>
    </w:p>
    <w:p>
      <w:pPr>
        <w:snapToGrid w:val="0"/>
        <w:spacing w:line="300" w:lineRule="auto"/>
        <w:ind w:firstLine="562" w:firstLineChars="200"/>
        <w:contextualSpacing/>
        <w:rPr>
          <w:rFonts w:ascii="宋体" w:hAnsi="宋体" w:cs="宋体"/>
          <w:b/>
          <w:bCs/>
          <w:color w:val="auto"/>
          <w:sz w:val="28"/>
          <w:szCs w:val="28"/>
          <w:highlight w:val="none"/>
        </w:rPr>
      </w:pPr>
      <w:r>
        <w:rPr>
          <w:rFonts w:hint="eastAsia" w:ascii="宋体" w:hAnsi="宋体" w:cs="宋体"/>
          <w:b/>
          <w:bCs/>
          <w:color w:val="auto"/>
          <w:sz w:val="28"/>
          <w:szCs w:val="28"/>
          <w:highlight w:val="none"/>
        </w:rPr>
        <w:t>对项目需求部分的询问、质疑请向采购人提出，询问、质疑由采购人负责答复。对采购程序、采购事项其他方面的询问向代理机构提出，由代理机构负责答复。</w:t>
      </w:r>
    </w:p>
    <w:p>
      <w:pPr>
        <w:snapToGrid w:val="0"/>
        <w:spacing w:line="300" w:lineRule="auto"/>
        <w:ind w:firstLine="562" w:firstLineChars="200"/>
        <w:contextualSpacing/>
        <w:rPr>
          <w:rFonts w:ascii="宋体" w:hAnsi="宋体" w:cs="宋体"/>
          <w:b/>
          <w:color w:val="auto"/>
          <w:sz w:val="28"/>
          <w:szCs w:val="28"/>
          <w:highlight w:val="none"/>
        </w:rPr>
      </w:pPr>
      <w:r>
        <w:rPr>
          <w:rFonts w:hint="eastAsia" w:ascii="宋体" w:hAnsi="宋体" w:cs="宋体"/>
          <w:b/>
          <w:color w:val="auto"/>
          <w:sz w:val="28"/>
          <w:szCs w:val="28"/>
          <w:highlight w:val="none"/>
        </w:rPr>
        <w:t>十、响应文件制作份数要求：</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详见磋商文件第七部分“响应文件组成”的具体要求。</w:t>
      </w:r>
    </w:p>
    <w:p>
      <w:pPr>
        <w:snapToGrid w:val="0"/>
        <w:spacing w:line="300" w:lineRule="auto"/>
        <w:ind w:firstLine="562" w:firstLineChars="200"/>
        <w:contextualSpacing/>
        <w:rPr>
          <w:rFonts w:ascii="宋体" w:hAnsi="宋体" w:cs="宋体"/>
          <w:b/>
          <w:color w:val="auto"/>
          <w:sz w:val="28"/>
          <w:szCs w:val="28"/>
          <w:highlight w:val="none"/>
        </w:rPr>
      </w:pPr>
      <w:r>
        <w:rPr>
          <w:rFonts w:hint="eastAsia" w:ascii="宋体" w:hAnsi="宋体" w:cs="宋体"/>
          <w:b/>
          <w:color w:val="auto"/>
          <w:sz w:val="28"/>
          <w:szCs w:val="28"/>
          <w:highlight w:val="none"/>
        </w:rPr>
        <w:t>十一、竞争性磋商程序简介</w:t>
      </w:r>
    </w:p>
    <w:p>
      <w:pPr>
        <w:snapToGrid w:val="0"/>
        <w:spacing w:line="300" w:lineRule="auto"/>
        <w:ind w:firstLine="562" w:firstLineChars="200"/>
        <w:contextualSpacing/>
        <w:rPr>
          <w:rFonts w:ascii="宋体" w:hAnsi="宋体" w:cs="宋体"/>
          <w:bCs/>
          <w:color w:val="auto"/>
          <w:sz w:val="28"/>
          <w:szCs w:val="28"/>
          <w:highlight w:val="none"/>
        </w:rPr>
      </w:pPr>
      <w:r>
        <w:rPr>
          <w:rFonts w:hint="eastAsia" w:ascii="宋体" w:hAnsi="宋体" w:cs="宋体"/>
          <w:b/>
          <w:color w:val="auto"/>
          <w:sz w:val="28"/>
          <w:szCs w:val="28"/>
          <w:highlight w:val="none"/>
        </w:rPr>
        <w:t>供应商先对响应文件进行密封性检查，磋商小组审查响应供应商资格，</w:t>
      </w:r>
      <w:r>
        <w:rPr>
          <w:rFonts w:hint="eastAsia" w:ascii="宋体" w:hAnsi="宋体" w:cs="宋体"/>
          <w:color w:val="auto"/>
          <w:sz w:val="28"/>
          <w:szCs w:val="28"/>
          <w:highlight w:val="none"/>
        </w:rPr>
        <w:t>符合资格的供应商接受磋商小组的各轮磋商。磋商结束后要求所有实质性响应的供应商在规定时间内提交最后报价（提交最后报价的供应商不得少于3家），磋商小组采用综合评分法对提交最后报价的供应商的响应文件和最后报价进行综合评分，响应文件满足磋商文件全部实质性要求且按评审因素的量化指标评审得分最高者，为成交供应商。</w:t>
      </w:r>
    </w:p>
    <w:p>
      <w:pPr>
        <w:autoSpaceDE w:val="0"/>
        <w:autoSpaceDN w:val="0"/>
        <w:adjustRightInd w:val="0"/>
        <w:snapToGrid w:val="0"/>
        <w:spacing w:line="300" w:lineRule="auto"/>
        <w:contextualSpacing/>
        <w:jc w:val="center"/>
        <w:rPr>
          <w:rFonts w:ascii="宋体" w:hAnsi="宋体" w:cs="宋体"/>
          <w:b/>
          <w:bCs/>
          <w:color w:val="auto"/>
          <w:sz w:val="36"/>
          <w:szCs w:val="36"/>
          <w:highlight w:val="none"/>
          <w:lang w:val="zh-CN"/>
        </w:rPr>
        <w:sectPr>
          <w:pgSz w:w="11907" w:h="16839"/>
          <w:pgMar w:top="1440" w:right="726" w:bottom="873" w:left="1236" w:header="720" w:footer="720" w:gutter="0"/>
          <w:cols w:space="720" w:num="1"/>
          <w:docGrid w:linePitch="286" w:charSpace="0"/>
        </w:sectPr>
      </w:pPr>
    </w:p>
    <w:p>
      <w:pPr>
        <w:autoSpaceDE w:val="0"/>
        <w:autoSpaceDN w:val="0"/>
        <w:adjustRightInd w:val="0"/>
        <w:snapToGrid w:val="0"/>
        <w:spacing w:line="300" w:lineRule="auto"/>
        <w:contextualSpacing/>
        <w:jc w:val="center"/>
        <w:rPr>
          <w:rFonts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t>第二部分 磋商须知</w:t>
      </w:r>
    </w:p>
    <w:p>
      <w:pPr>
        <w:autoSpaceDE w:val="0"/>
        <w:autoSpaceDN w:val="0"/>
        <w:adjustRightInd w:val="0"/>
        <w:snapToGrid w:val="0"/>
        <w:spacing w:line="300" w:lineRule="auto"/>
        <w:contextualSpacing/>
        <w:rPr>
          <w:rFonts w:ascii="宋体" w:hAnsi="宋体" w:cs="宋体"/>
          <w:b/>
          <w:bCs/>
          <w:color w:val="auto"/>
          <w:sz w:val="28"/>
          <w:szCs w:val="28"/>
          <w:highlight w:val="none"/>
          <w:lang w:val="zh-CN"/>
        </w:rPr>
      </w:pPr>
    </w:p>
    <w:p>
      <w:pPr>
        <w:snapToGrid w:val="0"/>
        <w:spacing w:line="300" w:lineRule="auto"/>
        <w:ind w:firstLine="562" w:firstLineChars="200"/>
        <w:contextualSpacing/>
        <w:outlineLvl w:val="0"/>
        <w:rPr>
          <w:rFonts w:ascii="宋体" w:hAnsi="宋体" w:cs="宋体"/>
          <w:b/>
          <w:color w:val="auto"/>
          <w:sz w:val="28"/>
          <w:szCs w:val="28"/>
          <w:highlight w:val="none"/>
        </w:rPr>
      </w:pPr>
      <w:r>
        <w:rPr>
          <w:rFonts w:hint="eastAsia" w:ascii="宋体" w:hAnsi="宋体" w:cs="宋体"/>
          <w:b/>
          <w:color w:val="auto"/>
          <w:sz w:val="28"/>
          <w:szCs w:val="28"/>
          <w:highlight w:val="none"/>
        </w:rPr>
        <w:t>一、本磋商文件由采购代理机构解释。</w:t>
      </w:r>
    </w:p>
    <w:p>
      <w:pPr>
        <w:snapToGrid w:val="0"/>
        <w:spacing w:line="300" w:lineRule="auto"/>
        <w:ind w:firstLine="560" w:firstLineChars="200"/>
        <w:contextualSpacing/>
        <w:rPr>
          <w:rFonts w:ascii="宋体" w:hAnsi="宋体" w:cs="宋体"/>
          <w:b/>
          <w:color w:val="auto"/>
          <w:sz w:val="28"/>
          <w:szCs w:val="28"/>
          <w:highlight w:val="none"/>
        </w:rPr>
      </w:pPr>
      <w:r>
        <w:rPr>
          <w:rFonts w:hint="eastAsia" w:ascii="宋体" w:hAnsi="宋体" w:cs="宋体"/>
          <w:color w:val="auto"/>
          <w:sz w:val="28"/>
          <w:szCs w:val="28"/>
          <w:highlight w:val="none"/>
        </w:rPr>
        <w:t>1、供应商在“南通市教育局网”和“南通市第二中学网”下载磋商文件后，应仔细检查磋商文件的所有内容，如对政府采购活动事项有疑问的，应向采购人或采购代理机构以书面形式提出，否则视同供应商理解并接受本磋商文件所有内容，并由此引起的损失自负。供应商不得在磋商结束后针对磋商文件所有内容提出质疑事项。</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2、供应商应认真审阅磋商文件中所有的事项、格式、条款和规范要求等，如果供应商没有按照磋商文件要求提交响应文件，或者响应文件没有对磋商文件做出实质性响应，将被拒绝参与磋商。</w:t>
      </w:r>
    </w:p>
    <w:p>
      <w:pPr>
        <w:snapToGrid w:val="0"/>
        <w:spacing w:line="300" w:lineRule="auto"/>
        <w:ind w:firstLine="562" w:firstLineChars="200"/>
        <w:contextualSpacing/>
        <w:rPr>
          <w:rFonts w:ascii="宋体" w:hAnsi="宋体" w:cs="宋体"/>
          <w:b/>
          <w:color w:val="auto"/>
          <w:sz w:val="28"/>
          <w:szCs w:val="28"/>
          <w:highlight w:val="none"/>
        </w:rPr>
      </w:pPr>
      <w:r>
        <w:rPr>
          <w:rFonts w:hint="eastAsia" w:ascii="宋体" w:hAnsi="宋体" w:cs="宋体"/>
          <w:b/>
          <w:color w:val="auto"/>
          <w:sz w:val="28"/>
          <w:szCs w:val="28"/>
          <w:highlight w:val="none"/>
        </w:rPr>
        <w:t>二、磋商文件的澄清、修改、答疑</w:t>
      </w:r>
    </w:p>
    <w:p>
      <w:pPr>
        <w:pStyle w:val="10"/>
        <w:snapToGrid w:val="0"/>
        <w:spacing w:line="300" w:lineRule="auto"/>
        <w:ind w:left="0" w:leftChars="0"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采购代理机构可以对已发出的磋商文件进行必要的澄清或者修改，澄清或者修改的内容作为磋商文件的组成部分。澄清或者修改的内容可能影响响应文件编制的，采购代理机构将在提交首次响应文件截止之日5日前，以网上公告书面形式通知所有接收磋商文件的供应商，不足5日的，顺延提交首次响应文件截止之日。</w:t>
      </w:r>
    </w:p>
    <w:p>
      <w:pPr>
        <w:pStyle w:val="10"/>
        <w:snapToGrid w:val="0"/>
        <w:spacing w:after="0" w:line="300" w:lineRule="auto"/>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rPr>
        <w:t>供应商由于对磋商文件的任何推论和误解以及采购人、代理机构对有</w:t>
      </w:r>
      <w:r>
        <w:rPr>
          <w:rFonts w:hint="eastAsia" w:ascii="宋体" w:hAnsi="宋体" w:cs="宋体"/>
          <w:color w:val="auto"/>
          <w:sz w:val="28"/>
          <w:szCs w:val="28"/>
          <w:highlight w:val="none"/>
          <w:lang w:val="zh-CN"/>
        </w:rPr>
        <w:t>关问题的口头解释所造成的后果，均由供应商自负。</w:t>
      </w:r>
    </w:p>
    <w:p>
      <w:pPr>
        <w:autoSpaceDE w:val="0"/>
        <w:autoSpaceDN w:val="0"/>
        <w:adjustRightInd w:val="0"/>
        <w:snapToGrid w:val="0"/>
        <w:spacing w:after="120" w:line="300" w:lineRule="auto"/>
        <w:ind w:firstLine="562"/>
        <w:contextualSpacing/>
        <w:rPr>
          <w:rFonts w:ascii="宋体" w:hAnsi="宋体" w:cs="宋体"/>
          <w:b/>
          <w:bCs/>
          <w:color w:val="auto"/>
          <w:sz w:val="28"/>
          <w:szCs w:val="28"/>
          <w:highlight w:val="none"/>
        </w:rPr>
      </w:pPr>
      <w:r>
        <w:rPr>
          <w:rFonts w:hint="eastAsia" w:ascii="宋体" w:hAnsi="宋体" w:cs="宋体"/>
          <w:b/>
          <w:bCs/>
          <w:color w:val="auto"/>
          <w:sz w:val="28"/>
          <w:szCs w:val="28"/>
          <w:highlight w:val="none"/>
          <w:lang w:val="zh-CN"/>
        </w:rPr>
        <w:t>三、响应文件的编写、份数和签署</w:t>
      </w:r>
    </w:p>
    <w:p>
      <w:pPr>
        <w:autoSpaceDE w:val="0"/>
        <w:autoSpaceDN w:val="0"/>
        <w:adjustRightInd w:val="0"/>
        <w:snapToGrid w:val="0"/>
        <w:spacing w:line="300" w:lineRule="auto"/>
        <w:ind w:firstLine="560" w:firstLineChars="200"/>
        <w:contextualSpacing/>
        <w:jc w:val="left"/>
        <w:rPr>
          <w:rFonts w:ascii="宋体" w:hAnsi="宋体" w:cs="宋体"/>
          <w:color w:val="auto"/>
          <w:sz w:val="28"/>
          <w:szCs w:val="28"/>
          <w:highlight w:val="none"/>
        </w:rPr>
      </w:pPr>
      <w:r>
        <w:rPr>
          <w:rFonts w:hint="eastAsia" w:ascii="宋体" w:hAnsi="宋体" w:cs="宋体"/>
          <w:color w:val="auto"/>
          <w:sz w:val="28"/>
          <w:szCs w:val="28"/>
          <w:highlight w:val="none"/>
          <w:lang w:val="zh-CN"/>
        </w:rPr>
        <w:t>1、供应商按“第七部分 响应文件组成”要求编写响应文件，自编目录并连续标注页码，不得将内容拆开，并牢固装订成册。响应文件均需采用A4纸（</w:t>
      </w:r>
      <w:r>
        <w:rPr>
          <w:rFonts w:hint="eastAsia" w:ascii="宋体" w:hAnsi="宋体" w:cs="宋体"/>
          <w:color w:val="auto"/>
          <w:sz w:val="28"/>
          <w:szCs w:val="28"/>
          <w:highlight w:val="none"/>
        </w:rPr>
        <w:t>图纸等除外），不允许使用活页夹、拉杆夹、文件夹、塑料方便式书脊（插入式或穿孔式）装订。响应</w:t>
      </w:r>
      <w:r>
        <w:rPr>
          <w:rFonts w:hint="eastAsia" w:ascii="宋体" w:hAnsi="宋体" w:cs="宋体"/>
          <w:color w:val="auto"/>
          <w:sz w:val="28"/>
          <w:szCs w:val="28"/>
          <w:highlight w:val="none"/>
          <w:lang w:val="zh-CN"/>
        </w:rPr>
        <w:t>文件不得行间插字、涂改、增删，如确需修改，修补错漏处须经响应文</w:t>
      </w:r>
      <w:r>
        <w:rPr>
          <w:rFonts w:hint="eastAsia" w:ascii="宋体" w:hAnsi="宋体" w:cs="宋体"/>
          <w:color w:val="auto"/>
          <w:sz w:val="28"/>
          <w:szCs w:val="28"/>
          <w:highlight w:val="none"/>
        </w:rPr>
        <w:t>件签署人签字并加盖公章。</w:t>
      </w:r>
    </w:p>
    <w:p>
      <w:pPr>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2、响应文件正本须打印并由法定代表人或授权人签字并加盖单位印章。副本可复印，但须加盖单位印章。</w:t>
      </w:r>
    </w:p>
    <w:p>
      <w:pPr>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w:t>
      </w:r>
      <w:r>
        <w:rPr>
          <w:rFonts w:hint="eastAsia" w:ascii="宋体" w:hAnsi="宋体" w:cs="宋体"/>
          <w:b/>
          <w:color w:val="auto"/>
          <w:sz w:val="28"/>
          <w:szCs w:val="28"/>
          <w:highlight w:val="none"/>
        </w:rPr>
        <w:t>采购人、代理机构将拒绝接收未按照磋商文件要求密封的响应文件。</w:t>
      </w:r>
    </w:p>
    <w:p>
      <w:pPr>
        <w:snapToGrid w:val="0"/>
        <w:spacing w:line="300" w:lineRule="auto"/>
        <w:ind w:firstLine="562" w:firstLineChars="200"/>
        <w:contextualSpacing/>
        <w:rPr>
          <w:rFonts w:ascii="宋体" w:hAnsi="宋体" w:cs="宋体"/>
          <w:b/>
          <w:color w:val="auto"/>
          <w:sz w:val="28"/>
          <w:szCs w:val="28"/>
          <w:highlight w:val="none"/>
        </w:rPr>
      </w:pPr>
      <w:r>
        <w:rPr>
          <w:rFonts w:hint="eastAsia" w:ascii="宋体" w:hAnsi="宋体" w:cs="宋体"/>
          <w:b/>
          <w:color w:val="auto"/>
          <w:sz w:val="28"/>
          <w:szCs w:val="28"/>
          <w:highlight w:val="none"/>
        </w:rPr>
        <w:t>四、响应文件的密封及标记</w:t>
      </w:r>
    </w:p>
    <w:p>
      <w:pPr>
        <w:snapToGrid w:val="0"/>
        <w:spacing w:line="300" w:lineRule="auto"/>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1、商务技术文件应将正本、副本及图纸类等（如需提供图纸等其它资料的话）合并密封，统一装在一个密封袋或密封箱内（如有A3大小的图纸类，可单独密封）。</w:t>
      </w:r>
    </w:p>
    <w:p>
      <w:pPr>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w:t>
      </w:r>
      <w:r>
        <w:rPr>
          <w:rFonts w:hint="eastAsia" w:ascii="宋体" w:hAnsi="宋体" w:cs="宋体"/>
          <w:b/>
          <w:color w:val="auto"/>
          <w:sz w:val="28"/>
          <w:szCs w:val="28"/>
          <w:highlight w:val="none"/>
        </w:rPr>
        <w:t>响应报价表须单独密封</w:t>
      </w:r>
      <w:r>
        <w:rPr>
          <w:rFonts w:hint="eastAsia" w:ascii="宋体" w:hAnsi="宋体" w:cs="宋体"/>
          <w:color w:val="auto"/>
          <w:sz w:val="28"/>
          <w:szCs w:val="28"/>
          <w:highlight w:val="none"/>
        </w:rPr>
        <w:t>，不得出现于其他磋商响应文件中。</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3、密封后应标明响应文件项目名称、项目编号、边缝处加盖单位骑缝章或骑缝签字。</w:t>
      </w:r>
    </w:p>
    <w:p>
      <w:pPr>
        <w:snapToGrid w:val="0"/>
        <w:spacing w:line="300" w:lineRule="auto"/>
        <w:ind w:firstLine="562" w:firstLineChars="200"/>
        <w:contextualSpacing/>
        <w:rPr>
          <w:rFonts w:ascii="宋体" w:hAnsi="宋体" w:cs="宋体"/>
          <w:b/>
          <w:color w:val="auto"/>
          <w:sz w:val="28"/>
          <w:szCs w:val="28"/>
          <w:highlight w:val="none"/>
        </w:rPr>
      </w:pPr>
      <w:r>
        <w:rPr>
          <w:rFonts w:hint="eastAsia" w:ascii="宋体" w:hAnsi="宋体" w:cs="宋体"/>
          <w:b/>
          <w:color w:val="auto"/>
          <w:sz w:val="28"/>
          <w:szCs w:val="28"/>
          <w:highlight w:val="none"/>
        </w:rPr>
        <w:t>五、报价准备</w:t>
      </w:r>
    </w:p>
    <w:p>
      <w:pPr>
        <w:pStyle w:val="39"/>
        <w:snapToGrid w:val="0"/>
        <w:spacing w:line="300" w:lineRule="auto"/>
        <w:ind w:firstLine="577"/>
        <w:contextualSpacing/>
        <w:rPr>
          <w:rFonts w:ascii="宋体" w:eastAsia="宋体" w:cs="宋体"/>
          <w:color w:val="auto"/>
          <w:sz w:val="28"/>
          <w:highlight w:val="none"/>
        </w:rPr>
      </w:pPr>
      <w:r>
        <w:rPr>
          <w:rFonts w:hint="eastAsia" w:ascii="宋体" w:eastAsia="宋体" w:cs="宋体"/>
          <w:color w:val="auto"/>
          <w:sz w:val="28"/>
          <w:highlight w:val="none"/>
        </w:rPr>
        <w:t>1、供应商应根据自己的服务经营能力进行磋商报价。</w:t>
      </w:r>
    </w:p>
    <w:p>
      <w:pPr>
        <w:pStyle w:val="39"/>
        <w:snapToGrid w:val="0"/>
        <w:spacing w:line="300" w:lineRule="auto"/>
        <w:ind w:firstLine="577"/>
        <w:contextualSpacing/>
        <w:rPr>
          <w:rFonts w:ascii="宋体" w:eastAsia="宋体" w:cs="宋体"/>
          <w:color w:val="auto"/>
          <w:sz w:val="28"/>
          <w:highlight w:val="none"/>
        </w:rPr>
      </w:pPr>
      <w:r>
        <w:rPr>
          <w:rFonts w:hint="eastAsia" w:ascii="宋体" w:eastAsia="宋体" w:cs="宋体"/>
          <w:color w:val="auto"/>
          <w:sz w:val="28"/>
          <w:highlight w:val="none"/>
        </w:rPr>
        <w:t xml:space="preserve">2、磋商结束后，供应商就所投项目的所有内容进行最后报价，少报无效。最后报价应包括完成本项目的全部费用(含一切必须的辅助材料费用)及相关服务费等。包含但不限于如人工、耗材、安全措施费、专用工具费用、税费、保险及相关劳务支出等工作所发生的全部费用以及投标人企业利润、税金和政策性文件规定及合同包含的所有风险、责任，即响应本项目的各项应有费用。 </w:t>
      </w:r>
    </w:p>
    <w:p>
      <w:pPr>
        <w:pStyle w:val="39"/>
        <w:snapToGrid w:val="0"/>
        <w:spacing w:line="300" w:lineRule="auto"/>
        <w:ind w:firstLine="577"/>
        <w:contextualSpacing/>
        <w:rPr>
          <w:rFonts w:ascii="宋体" w:eastAsia="宋体" w:cs="宋体"/>
          <w:color w:val="auto"/>
          <w:sz w:val="28"/>
          <w:highlight w:val="none"/>
        </w:rPr>
      </w:pPr>
      <w:r>
        <w:rPr>
          <w:rFonts w:hint="eastAsia" w:ascii="宋体" w:eastAsia="宋体" w:cs="宋体"/>
          <w:color w:val="auto"/>
          <w:sz w:val="28"/>
          <w:highlight w:val="none"/>
        </w:rPr>
        <w:t>3、最后报价将作为磋商小组评定成交供应商的组成依据。</w:t>
      </w:r>
    </w:p>
    <w:p>
      <w:pPr>
        <w:snapToGrid w:val="0"/>
        <w:spacing w:line="300" w:lineRule="auto"/>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六</w:t>
      </w:r>
      <w:r>
        <w:rPr>
          <w:rFonts w:hint="eastAsia" w:ascii="宋体" w:hAnsi="宋体" w:cs="宋体"/>
          <w:b/>
          <w:color w:val="auto"/>
          <w:sz w:val="28"/>
          <w:szCs w:val="28"/>
          <w:highlight w:val="none"/>
          <w:lang w:val="zh-CN"/>
        </w:rPr>
        <w:t>、</w:t>
      </w:r>
      <w:r>
        <w:rPr>
          <w:rFonts w:hint="eastAsia" w:ascii="宋体" w:hAnsi="宋体" w:cs="宋体"/>
          <w:b/>
          <w:color w:val="auto"/>
          <w:sz w:val="28"/>
          <w:szCs w:val="28"/>
          <w:highlight w:val="none"/>
        </w:rPr>
        <w:t>履约保证金</w:t>
      </w:r>
    </w:p>
    <w:p>
      <w:pPr>
        <w:pStyle w:val="39"/>
        <w:snapToGrid w:val="0"/>
        <w:spacing w:line="300" w:lineRule="auto"/>
        <w:ind w:firstLine="577"/>
        <w:contextualSpacing/>
        <w:rPr>
          <w:rFonts w:ascii="宋体" w:eastAsia="宋体" w:cs="宋体"/>
          <w:color w:val="auto"/>
          <w:sz w:val="28"/>
          <w:highlight w:val="none"/>
        </w:rPr>
      </w:pPr>
      <w:r>
        <w:rPr>
          <w:rFonts w:hint="eastAsia" w:ascii="宋体" w:eastAsia="宋体" w:cs="宋体"/>
          <w:color w:val="auto"/>
          <w:sz w:val="28"/>
          <w:highlight w:val="none"/>
        </w:rPr>
        <w:t>本项目设履约保证金，履约保证金为合同价的5%，</w:t>
      </w:r>
      <w:r>
        <w:rPr>
          <w:rFonts w:hint="eastAsia" w:ascii="宋体" w:eastAsia="宋体" w:cs="宋体"/>
          <w:b/>
          <w:bCs/>
          <w:color w:val="auto"/>
          <w:sz w:val="28"/>
          <w:highlight w:val="none"/>
        </w:rPr>
        <w:t>成交人</w:t>
      </w:r>
      <w:r>
        <w:rPr>
          <w:rFonts w:hint="eastAsia" w:ascii="宋体" w:eastAsia="宋体" w:cs="宋体"/>
          <w:color w:val="auto"/>
          <w:sz w:val="28"/>
          <w:highlight w:val="none"/>
        </w:rPr>
        <w:t>在签订合同前缴给采购方，</w:t>
      </w:r>
      <w:r>
        <w:rPr>
          <w:rFonts w:hint="eastAsia" w:ascii="宋体" w:eastAsia="宋体" w:cs="宋体"/>
          <w:b/>
          <w:bCs/>
          <w:color w:val="auto"/>
          <w:sz w:val="28"/>
          <w:highlight w:val="none"/>
        </w:rPr>
        <w:t>合同完成后的第2个月无息退还。</w:t>
      </w:r>
    </w:p>
    <w:p>
      <w:pPr>
        <w:autoSpaceDE w:val="0"/>
        <w:autoSpaceDN w:val="0"/>
        <w:adjustRightInd w:val="0"/>
        <w:snapToGrid w:val="0"/>
        <w:spacing w:line="300" w:lineRule="auto"/>
        <w:ind w:right="210" w:firstLine="560"/>
        <w:contextualSpacing/>
        <w:rPr>
          <w:rFonts w:ascii="宋体" w:hAnsi="宋体" w:cs="宋体"/>
          <w:color w:val="auto"/>
          <w:sz w:val="28"/>
          <w:szCs w:val="28"/>
          <w:highlight w:val="none"/>
        </w:rPr>
      </w:pPr>
      <w:r>
        <w:rPr>
          <w:rFonts w:hint="eastAsia" w:ascii="宋体" w:hAnsi="宋体" w:cs="宋体"/>
          <w:b/>
          <w:bCs/>
          <w:color w:val="auto"/>
          <w:sz w:val="28"/>
          <w:szCs w:val="28"/>
          <w:highlight w:val="none"/>
        </w:rPr>
        <w:t>七、相关费用</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1、供应商承担参与磋商可能发生的全部费用，采购代理机构在任何情况下均无义务和责任承担这些费用。</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2、本项目磋商文件资料费300元，供应商在提交响应文件时交给代理机构，售后不退。本项目代理费1500元，评委费用按南通市财政局通财购（2018）18号文件执行，供应商须综合考虑在磋商响应报价内。</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3、磋商文件未列明，而竞磋供应商认为必需的费用也需列入报价。</w:t>
      </w:r>
    </w:p>
    <w:p>
      <w:pPr>
        <w:snapToGrid w:val="0"/>
        <w:spacing w:line="420" w:lineRule="exact"/>
        <w:ind w:firstLine="579" w:firstLineChars="206"/>
        <w:outlineLvl w:val="1"/>
        <w:rPr>
          <w:rFonts w:ascii="宋体" w:hAnsi="宋体" w:cs="宋体"/>
          <w:bCs/>
          <w:color w:val="auto"/>
          <w:sz w:val="24"/>
          <w:highlight w:val="none"/>
          <w:lang w:val="zh-CN"/>
        </w:rPr>
      </w:pPr>
      <w:r>
        <w:rPr>
          <w:rFonts w:hint="eastAsia" w:ascii="宋体" w:hAnsi="宋体" w:cs="宋体"/>
          <w:b/>
          <w:bCs/>
          <w:color w:val="auto"/>
          <w:sz w:val="28"/>
          <w:szCs w:val="28"/>
          <w:highlight w:val="none"/>
        </w:rPr>
        <w:t>八、付款方式</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【特别提醒】付款方式不接受负偏离及任何意图改变付款方式的意图表达，否则作无效磋商处理。</w:t>
      </w:r>
    </w:p>
    <w:p>
      <w:pPr>
        <w:snapToGrid w:val="0"/>
        <w:spacing w:line="300" w:lineRule="auto"/>
        <w:ind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rPr>
        <w:t>1、</w:t>
      </w:r>
      <w:r>
        <w:rPr>
          <w:rFonts w:hint="eastAsia" w:ascii="宋体" w:hAnsi="宋体" w:cs="宋体"/>
          <w:color w:val="auto"/>
          <w:sz w:val="28"/>
          <w:szCs w:val="28"/>
          <w:highlight w:val="none"/>
          <w:lang w:val="zh-CN"/>
        </w:rPr>
        <w:t>付款方式：</w:t>
      </w:r>
      <w:r>
        <w:rPr>
          <w:rFonts w:hint="eastAsia" w:ascii="宋体" w:hAnsi="宋体" w:cs="宋体"/>
          <w:color w:val="auto"/>
          <w:sz w:val="28"/>
          <w:szCs w:val="28"/>
          <w:highlight w:val="none"/>
        </w:rPr>
        <w:t>本项目服务费每6个月支付一次，每次支付合同价的50%，支付方式为转账支付。每次付款前，供应商需提供采购方出具的书面验收合格材料，并开具正式发票。</w:t>
      </w:r>
    </w:p>
    <w:p>
      <w:pPr>
        <w:snapToGrid w:val="0"/>
        <w:spacing w:line="300" w:lineRule="auto"/>
        <w:ind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rPr>
        <w:t>2、</w:t>
      </w:r>
      <w:r>
        <w:rPr>
          <w:rFonts w:hint="eastAsia" w:ascii="宋体" w:hAnsi="宋体" w:cs="宋体"/>
          <w:color w:val="auto"/>
          <w:sz w:val="28"/>
          <w:szCs w:val="28"/>
          <w:highlight w:val="none"/>
          <w:lang w:val="zh-CN"/>
        </w:rPr>
        <w:t>最终以双方签订的采购合同内确定的付款结算条款为准。</w:t>
      </w:r>
    </w:p>
    <w:p>
      <w:pPr>
        <w:autoSpaceDE w:val="0"/>
        <w:autoSpaceDN w:val="0"/>
        <w:adjustRightInd w:val="0"/>
        <w:snapToGrid w:val="0"/>
        <w:spacing w:line="300" w:lineRule="auto"/>
        <w:outlineLvl w:val="0"/>
        <w:rPr>
          <w:rFonts w:ascii="宋体" w:hAnsi="宋体" w:cs="宋体"/>
          <w:b/>
          <w:bCs/>
          <w:color w:val="auto"/>
          <w:sz w:val="36"/>
          <w:szCs w:val="36"/>
          <w:highlight w:val="none"/>
          <w:lang w:val="zh-CN"/>
        </w:rPr>
      </w:pPr>
    </w:p>
    <w:p>
      <w:pPr>
        <w:autoSpaceDE w:val="0"/>
        <w:autoSpaceDN w:val="0"/>
        <w:adjustRightInd w:val="0"/>
        <w:snapToGrid w:val="0"/>
        <w:spacing w:line="300" w:lineRule="auto"/>
        <w:jc w:val="center"/>
        <w:outlineLvl w:val="0"/>
        <w:rPr>
          <w:rFonts w:ascii="宋体" w:hAnsi="宋体" w:cs="宋体"/>
          <w:b/>
          <w:bCs/>
          <w:color w:val="auto"/>
          <w:sz w:val="36"/>
          <w:szCs w:val="36"/>
          <w:highlight w:val="none"/>
          <w:lang w:val="zh-CN"/>
        </w:rPr>
        <w:sectPr>
          <w:pgSz w:w="11907" w:h="16839"/>
          <w:pgMar w:top="1440" w:right="726" w:bottom="873" w:left="1236" w:header="720" w:footer="720" w:gutter="0"/>
          <w:cols w:space="720" w:num="1"/>
          <w:docGrid w:linePitch="286" w:charSpace="0"/>
        </w:sectPr>
      </w:pPr>
    </w:p>
    <w:p>
      <w:pPr>
        <w:autoSpaceDE w:val="0"/>
        <w:autoSpaceDN w:val="0"/>
        <w:adjustRightInd w:val="0"/>
        <w:snapToGrid w:val="0"/>
        <w:spacing w:line="300" w:lineRule="auto"/>
        <w:jc w:val="center"/>
        <w:outlineLvl w:val="0"/>
        <w:rPr>
          <w:rFonts w:ascii="宋体" w:hAnsi="宋体" w:cs="宋体"/>
          <w:b/>
          <w:bCs/>
          <w:color w:val="auto"/>
          <w:szCs w:val="21"/>
          <w:highlight w:val="none"/>
          <w:lang w:val="zh-CN"/>
        </w:rPr>
      </w:pPr>
      <w:r>
        <w:rPr>
          <w:rFonts w:hint="eastAsia" w:ascii="宋体" w:hAnsi="宋体" w:cs="宋体"/>
          <w:b/>
          <w:bCs/>
          <w:color w:val="auto"/>
          <w:sz w:val="36"/>
          <w:szCs w:val="36"/>
          <w:highlight w:val="none"/>
          <w:lang w:val="zh-CN"/>
        </w:rPr>
        <w:t>第三部分 项目需求</w:t>
      </w:r>
    </w:p>
    <w:p>
      <w:pPr>
        <w:snapToGrid w:val="0"/>
        <w:spacing w:line="300" w:lineRule="auto"/>
        <w:ind w:firstLine="562" w:firstLineChars="200"/>
        <w:contextualSpacing/>
        <w:rPr>
          <w:rFonts w:ascii="宋体" w:hAnsi="宋体" w:cs="宋体"/>
          <w:b/>
          <w:color w:val="auto"/>
          <w:sz w:val="28"/>
          <w:szCs w:val="28"/>
          <w:highlight w:val="none"/>
        </w:rPr>
      </w:pPr>
    </w:p>
    <w:p>
      <w:pPr>
        <w:pStyle w:val="39"/>
        <w:snapToGrid w:val="0"/>
        <w:spacing w:line="500" w:lineRule="exact"/>
        <w:ind w:firstLine="562" w:firstLineChars="200"/>
        <w:rPr>
          <w:rFonts w:ascii="宋体" w:eastAsia="宋体" w:cs="宋体"/>
          <w:color w:val="auto"/>
          <w:kern w:val="0"/>
          <w:sz w:val="28"/>
          <w:highlight w:val="none"/>
          <w:lang w:val="zh-CN"/>
        </w:rPr>
      </w:pPr>
      <w:r>
        <w:rPr>
          <w:rFonts w:hint="eastAsia" w:ascii="宋体" w:eastAsia="宋体" w:cs="宋体"/>
          <w:b/>
          <w:color w:val="auto"/>
          <w:kern w:val="0"/>
          <w:sz w:val="28"/>
          <w:highlight w:val="none"/>
          <w:lang w:val="zh-CN"/>
        </w:rPr>
        <w:t>请供应商在制作响应文件时仔细研究项目需求说明。</w:t>
      </w:r>
      <w:r>
        <w:rPr>
          <w:rFonts w:hint="eastAsia" w:ascii="宋体" w:eastAsia="宋体" w:cs="宋体"/>
          <w:color w:val="auto"/>
          <w:kern w:val="0"/>
          <w:sz w:val="28"/>
          <w:highlight w:val="none"/>
          <w:lang w:val="zh-CN"/>
        </w:rPr>
        <w:t>供应商不能简单照搬照抄采购单位项目需求说明中的服务、商务要求，必须作实事求是的响应。如照搬照抄项目需求说明中的服务、商务要求的，成交后供应商在同采购人签订合同和履约环节中不得提出异议，一切后果和损失由成交供应商承担。如供应商提供的服务同采购人提出的项目需求说明中的服务、商务要求不同的，必须在《商务部分正负偏离表》和《技术部分正负偏离表》上明示，如不明示的视同完全响应。</w:t>
      </w:r>
    </w:p>
    <w:p>
      <w:pPr>
        <w:pStyle w:val="39"/>
        <w:snapToGrid w:val="0"/>
        <w:spacing w:line="500" w:lineRule="exact"/>
        <w:ind w:firstLine="562" w:firstLineChars="200"/>
        <w:contextualSpacing/>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rPr>
        <w:t>一</w:t>
      </w:r>
      <w:r>
        <w:rPr>
          <w:rFonts w:hint="eastAsia" w:ascii="宋体" w:eastAsia="宋体" w:cs="宋体"/>
          <w:b/>
          <w:bCs/>
          <w:color w:val="auto"/>
          <w:kern w:val="0"/>
          <w:sz w:val="28"/>
          <w:highlight w:val="none"/>
          <w:lang w:val="zh-CN"/>
        </w:rPr>
        <w:t>、项目内容及具体说明：</w:t>
      </w:r>
    </w:p>
    <w:p>
      <w:pPr>
        <w:pStyle w:val="39"/>
        <w:snapToGrid w:val="0"/>
        <w:spacing w:line="500" w:lineRule="exact"/>
        <w:ind w:firstLine="562" w:firstLineChars="200"/>
        <w:contextualSpacing/>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lang w:val="zh-CN"/>
        </w:rPr>
        <w:t>1.项目内容：</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南通市第二中学校内所有中央空调及单体空调、空气能维保</w:t>
      </w:r>
    </w:p>
    <w:p>
      <w:pPr>
        <w:pStyle w:val="39"/>
        <w:snapToGrid w:val="0"/>
        <w:spacing w:line="500" w:lineRule="exact"/>
        <w:ind w:firstLine="562" w:firstLineChars="200"/>
        <w:contextualSpacing/>
        <w:rPr>
          <w:rFonts w:ascii="宋体" w:eastAsia="宋体" w:cs="宋体"/>
          <w:color w:val="auto"/>
          <w:kern w:val="0"/>
          <w:sz w:val="28"/>
          <w:highlight w:val="none"/>
          <w:lang w:val="zh-CN"/>
        </w:rPr>
      </w:pPr>
      <w:r>
        <w:rPr>
          <w:rFonts w:hint="eastAsia" w:ascii="宋体" w:eastAsia="宋体" w:cs="宋体"/>
          <w:b/>
          <w:bCs/>
          <w:color w:val="auto"/>
          <w:kern w:val="0"/>
          <w:sz w:val="28"/>
          <w:highlight w:val="none"/>
          <w:lang w:val="zh-CN"/>
        </w:rPr>
        <w:t>2.功能实现：</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确保南通市第二中学所有空调、空气能正常运行，发生故障及时排除。</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空调、空气能的种类与数量：</w:t>
      </w:r>
    </w:p>
    <w:tbl>
      <w:tblPr>
        <w:tblStyle w:val="21"/>
        <w:tblW w:w="8680" w:type="dxa"/>
        <w:jc w:val="center"/>
        <w:tblLayout w:type="fixed"/>
        <w:tblCellMar>
          <w:top w:w="15" w:type="dxa"/>
          <w:left w:w="15" w:type="dxa"/>
          <w:bottom w:w="15" w:type="dxa"/>
          <w:right w:w="15" w:type="dxa"/>
        </w:tblCellMar>
      </w:tblPr>
      <w:tblGrid>
        <w:gridCol w:w="2317"/>
        <w:gridCol w:w="3454"/>
        <w:gridCol w:w="1455"/>
        <w:gridCol w:w="1454"/>
      </w:tblGrid>
      <w:tr>
        <w:tblPrEx>
          <w:tblCellMar>
            <w:top w:w="15" w:type="dxa"/>
            <w:left w:w="15" w:type="dxa"/>
            <w:bottom w:w="15" w:type="dxa"/>
            <w:right w:w="15" w:type="dxa"/>
          </w:tblCellMar>
        </w:tblPrEx>
        <w:trPr>
          <w:trHeight w:val="567" w:hRule="atLeast"/>
          <w:tblHeader/>
          <w:jc w:val="center"/>
        </w:trPr>
        <w:tc>
          <w:tcPr>
            <w:tcW w:w="2317"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lang w:val="zh-CN"/>
              </w:rPr>
              <w:t>设备类型</w:t>
            </w: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lang w:val="zh-CN"/>
              </w:rPr>
              <w:t>设备型号</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lang w:val="zh-CN"/>
              </w:rPr>
              <w:t>数量</w:t>
            </w:r>
          </w:p>
        </w:tc>
        <w:tc>
          <w:tcPr>
            <w:tcW w:w="1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lang w:val="zh-CN"/>
              </w:rPr>
              <w:t>备注</w:t>
            </w:r>
          </w:p>
        </w:tc>
      </w:tr>
      <w:tr>
        <w:tblPrEx>
          <w:tblCellMar>
            <w:top w:w="15" w:type="dxa"/>
            <w:left w:w="15" w:type="dxa"/>
            <w:bottom w:w="15" w:type="dxa"/>
            <w:right w:w="15" w:type="dxa"/>
          </w:tblCellMar>
        </w:tblPrEx>
        <w:trPr>
          <w:trHeight w:val="454" w:hRule="atLeast"/>
          <w:jc w:val="center"/>
        </w:trPr>
        <w:tc>
          <w:tcPr>
            <w:tcW w:w="2317" w:type="dxa"/>
            <w:vMerge w:val="restart"/>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四面出风嵌入式</w:t>
            </w: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MDV-D28Q4/N1-C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2</w:t>
            </w:r>
          </w:p>
        </w:tc>
        <w:tc>
          <w:tcPr>
            <w:tcW w:w="1454" w:type="dxa"/>
            <w:vMerge w:val="restart"/>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美的</w:t>
            </w: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MDV-D36Q4/N1-C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8</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MDV-D45Q4/N1-C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13</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MDV-D56Q4/N1-C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2</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MDV-D71Q4/N1-C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19</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MDV-D80Q4/N1-C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16</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MDV-D90Q4/N1-C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10</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MDV-D100Q4/N1-C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47</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MDV-D125Q4/N1-C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97</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MDV-D140Q4/N1-C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28</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restart"/>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风管式</w:t>
            </w: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MDV-D36T2/N1-C3</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2</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MDV-D71T2/N1-C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4</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MDV-D112T2/N1-C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9</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MDV-D125T2/N1-C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2</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restart"/>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悬吊式</w:t>
            </w: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MDV-D56DL/N1-B</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14</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MDV-D71DL/N1-B</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128</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MDV-D80DL/N1-B</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8</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MDV-D90DL/N1-B</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2</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MDV-D100DL/N1-B</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21</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MDV-D112DL/N1-B</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restart"/>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室外机</w:t>
            </w: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MDV-280W/DSN1-891(G)</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11</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MDV-335W/DSN1-880(G)</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4</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MDV-400W/DSN1-880</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8</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MDV-500W/DSN1-880(G)</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MDV-560W/DSN1-990(G)</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14</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MDV-730W/DSN1-990(G)</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2</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MDV-785W/DSN1-980(G)</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5</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MDV-850W/DSN1-980(G)</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MDV-900W/DSN1-980(G)</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4</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MDV-950W/DSN1-980(G)</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3</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MDV-1000W/DSN1-980(G)</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4</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MDV-1060W/DSN1-980(G)</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2</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MDV-1130W/DSN1-980(G)</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MDV-1230W/DSN1-980(G)</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4</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restart"/>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分体机</w:t>
            </w: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rPr>
            </w:pPr>
            <w:r>
              <w:rPr>
                <w:rFonts w:hint="eastAsia" w:ascii="宋体" w:eastAsia="宋体" w:cs="宋体"/>
                <w:color w:val="auto"/>
                <w:kern w:val="0"/>
                <w:sz w:val="21"/>
                <w:szCs w:val="21"/>
                <w:highlight w:val="none"/>
              </w:rPr>
              <w:t>KFR-51LW/DY（</w:t>
            </w:r>
            <w:r>
              <w:rPr>
                <w:rFonts w:hint="eastAsia" w:ascii="宋体" w:eastAsia="宋体" w:cs="宋体"/>
                <w:color w:val="auto"/>
                <w:kern w:val="0"/>
                <w:sz w:val="21"/>
                <w:szCs w:val="21"/>
                <w:highlight w:val="none"/>
                <w:lang w:val="zh-CN"/>
              </w:rPr>
              <w:t>柜</w:t>
            </w:r>
            <w:r>
              <w:rPr>
                <w:rFonts w:hint="eastAsia" w:ascii="宋体" w:eastAsia="宋体" w:cs="宋体"/>
                <w:color w:val="auto"/>
                <w:kern w:val="0"/>
                <w:sz w:val="21"/>
                <w:szCs w:val="21"/>
                <w:highlight w:val="none"/>
              </w:rPr>
              <w:t>）</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2</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KFR-35GW/DY-GC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175</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KFR-26GW/DY-GC</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5</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KFR-72LW/DY-GC（柜）</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1</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3454"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rPr>
            </w:pPr>
            <w:r>
              <w:rPr>
                <w:rFonts w:hint="eastAsia" w:ascii="宋体" w:eastAsia="宋体" w:cs="宋体"/>
                <w:color w:val="auto"/>
                <w:kern w:val="0"/>
                <w:sz w:val="21"/>
                <w:szCs w:val="21"/>
                <w:highlight w:val="none"/>
              </w:rPr>
              <w:t>KFR-120LW/DY（</w:t>
            </w:r>
            <w:r>
              <w:rPr>
                <w:rFonts w:hint="eastAsia" w:ascii="宋体" w:eastAsia="宋体" w:cs="宋体"/>
                <w:color w:val="auto"/>
                <w:kern w:val="0"/>
                <w:sz w:val="21"/>
                <w:szCs w:val="21"/>
                <w:highlight w:val="none"/>
                <w:lang w:val="zh-CN"/>
              </w:rPr>
              <w:t>柜</w:t>
            </w:r>
            <w:r>
              <w:rPr>
                <w:rFonts w:hint="eastAsia" w:ascii="宋体" w:eastAsia="宋体" w:cs="宋体"/>
                <w:color w:val="auto"/>
                <w:kern w:val="0"/>
                <w:sz w:val="21"/>
                <w:szCs w:val="21"/>
                <w:highlight w:val="none"/>
              </w:rPr>
              <w:t>）</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3</w:t>
            </w: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r>
      <w:tr>
        <w:tblPrEx>
          <w:tblCellMar>
            <w:top w:w="15" w:type="dxa"/>
            <w:left w:w="15" w:type="dxa"/>
            <w:bottom w:w="15" w:type="dxa"/>
            <w:right w:w="15" w:type="dxa"/>
          </w:tblCellMar>
        </w:tblPrEx>
        <w:trPr>
          <w:trHeight w:val="454" w:hRule="atLeast"/>
          <w:jc w:val="center"/>
        </w:trPr>
        <w:tc>
          <w:tcPr>
            <w:tcW w:w="2317" w:type="dxa"/>
            <w:tcBorders>
              <w:top w:val="single" w:color="000000" w:sz="4" w:space="0"/>
              <w:left w:val="single" w:color="000000" w:sz="4" w:space="0"/>
              <w:bottom w:val="single" w:color="auto"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屋顶机</w:t>
            </w:r>
          </w:p>
        </w:tc>
        <w:tc>
          <w:tcPr>
            <w:tcW w:w="3454" w:type="dxa"/>
            <w:tcBorders>
              <w:top w:val="single" w:color="000000" w:sz="4" w:space="0"/>
              <w:left w:val="single" w:color="000000" w:sz="4" w:space="0"/>
              <w:bottom w:val="single" w:color="auto"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WFWR220</w:t>
            </w:r>
          </w:p>
        </w:tc>
        <w:tc>
          <w:tcPr>
            <w:tcW w:w="1455" w:type="dxa"/>
            <w:tcBorders>
              <w:top w:val="single" w:color="000000" w:sz="4" w:space="0"/>
              <w:left w:val="single" w:color="000000" w:sz="4" w:space="0"/>
              <w:bottom w:val="single" w:color="auto"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2</w:t>
            </w:r>
          </w:p>
        </w:tc>
        <w:tc>
          <w:tcPr>
            <w:tcW w:w="1454" w:type="dxa"/>
            <w:tcBorders>
              <w:top w:val="single" w:color="000000" w:sz="4" w:space="0"/>
              <w:left w:val="single" w:color="000000" w:sz="4" w:space="0"/>
              <w:bottom w:val="single" w:color="auto"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盾安</w:t>
            </w:r>
          </w:p>
        </w:tc>
      </w:tr>
      <w:tr>
        <w:tblPrEx>
          <w:tblCellMar>
            <w:top w:w="15" w:type="dxa"/>
            <w:left w:w="15" w:type="dxa"/>
            <w:bottom w:w="15" w:type="dxa"/>
            <w:right w:w="15" w:type="dxa"/>
          </w:tblCellMar>
        </w:tblPrEx>
        <w:trPr>
          <w:trHeight w:val="684" w:hRule="atLeast"/>
          <w:jc w:val="center"/>
        </w:trPr>
        <w:tc>
          <w:tcPr>
            <w:tcW w:w="2317" w:type="dxa"/>
            <w:tcBorders>
              <w:top w:val="single" w:color="auto" w:sz="4" w:space="0"/>
              <w:left w:val="single" w:color="000000" w:sz="4" w:space="0"/>
              <w:bottom w:val="single" w:color="auto"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空气能</w:t>
            </w:r>
          </w:p>
        </w:tc>
        <w:tc>
          <w:tcPr>
            <w:tcW w:w="3454" w:type="dxa"/>
            <w:tcBorders>
              <w:top w:val="single" w:color="auto" w:sz="4" w:space="0"/>
              <w:left w:val="single" w:color="000000" w:sz="4" w:space="0"/>
              <w:bottom w:val="single" w:color="auto"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p>
        </w:tc>
        <w:tc>
          <w:tcPr>
            <w:tcW w:w="1455" w:type="dxa"/>
            <w:tcBorders>
              <w:top w:val="single" w:color="auto" w:sz="4" w:space="0"/>
              <w:left w:val="single" w:color="000000" w:sz="4" w:space="0"/>
              <w:bottom w:val="single" w:color="auto"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4套</w:t>
            </w:r>
          </w:p>
        </w:tc>
        <w:tc>
          <w:tcPr>
            <w:tcW w:w="1454" w:type="dxa"/>
            <w:tcBorders>
              <w:top w:val="single" w:color="auto" w:sz="4" w:space="0"/>
              <w:left w:val="single" w:color="000000" w:sz="4" w:space="0"/>
              <w:bottom w:val="single" w:color="auto"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生能</w:t>
            </w:r>
          </w:p>
        </w:tc>
      </w:tr>
      <w:tr>
        <w:tblPrEx>
          <w:tblCellMar>
            <w:top w:w="15" w:type="dxa"/>
            <w:left w:w="15" w:type="dxa"/>
            <w:bottom w:w="15" w:type="dxa"/>
            <w:right w:w="15" w:type="dxa"/>
          </w:tblCellMar>
        </w:tblPrEx>
        <w:trPr>
          <w:trHeight w:val="420" w:hRule="atLeast"/>
          <w:jc w:val="center"/>
        </w:trPr>
        <w:tc>
          <w:tcPr>
            <w:tcW w:w="2317" w:type="dxa"/>
            <w:tcBorders>
              <w:top w:val="single" w:color="auto"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挂壁式、立式空调</w:t>
            </w:r>
          </w:p>
        </w:tc>
        <w:tc>
          <w:tcPr>
            <w:tcW w:w="3454" w:type="dxa"/>
            <w:tcBorders>
              <w:top w:val="single" w:color="auto"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jc w:val="center"/>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美的等</w:t>
            </w:r>
          </w:p>
        </w:tc>
        <w:tc>
          <w:tcPr>
            <w:tcW w:w="1455" w:type="dxa"/>
            <w:tcBorders>
              <w:top w:val="single" w:color="auto" w:sz="4" w:space="0"/>
              <w:left w:val="single" w:color="000000" w:sz="4" w:space="0"/>
              <w:bottom w:val="single" w:color="000000" w:sz="4" w:space="0"/>
              <w:right w:val="single" w:color="000000" w:sz="4" w:space="0"/>
            </w:tcBorders>
            <w:vAlign w:val="center"/>
          </w:tcPr>
          <w:p>
            <w:pPr>
              <w:pStyle w:val="39"/>
              <w:snapToGrid w:val="0"/>
              <w:ind w:firstLine="537" w:firstLineChars="256"/>
              <w:contextualSpacing/>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约10只</w:t>
            </w:r>
          </w:p>
        </w:tc>
        <w:tc>
          <w:tcPr>
            <w:tcW w:w="1454" w:type="dxa"/>
            <w:tcBorders>
              <w:top w:val="single" w:color="auto" w:sz="4" w:space="0"/>
              <w:left w:val="single" w:color="000000" w:sz="4" w:space="0"/>
              <w:bottom w:val="single" w:color="000000" w:sz="4" w:space="0"/>
              <w:right w:val="single" w:color="000000" w:sz="4" w:space="0"/>
            </w:tcBorders>
            <w:vAlign w:val="center"/>
          </w:tcPr>
          <w:p>
            <w:pPr>
              <w:pStyle w:val="39"/>
              <w:snapToGrid w:val="0"/>
              <w:spacing w:line="240" w:lineRule="auto"/>
              <w:ind w:firstLine="0" w:firstLineChars="0"/>
              <w:contextualSpacing/>
              <w:rPr>
                <w:rFonts w:ascii="宋体" w:eastAsia="宋体" w:cs="宋体"/>
                <w:color w:val="auto"/>
                <w:kern w:val="0"/>
                <w:sz w:val="21"/>
                <w:szCs w:val="21"/>
                <w:highlight w:val="none"/>
                <w:lang w:val="zh-CN"/>
              </w:rPr>
            </w:pPr>
            <w:r>
              <w:rPr>
                <w:rFonts w:hint="eastAsia" w:ascii="宋体" w:eastAsia="宋体" w:cs="宋体"/>
                <w:color w:val="auto"/>
                <w:kern w:val="0"/>
                <w:sz w:val="21"/>
                <w:szCs w:val="21"/>
                <w:highlight w:val="none"/>
                <w:lang w:val="zh-CN"/>
              </w:rPr>
              <w:t>校外教工宿舍、食堂等处</w:t>
            </w:r>
          </w:p>
        </w:tc>
      </w:tr>
    </w:tbl>
    <w:p>
      <w:pPr>
        <w:pStyle w:val="39"/>
        <w:snapToGrid w:val="0"/>
        <w:spacing w:line="500" w:lineRule="exact"/>
        <w:ind w:firstLine="562" w:firstLineChars="200"/>
        <w:contextualSpacing/>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rPr>
        <w:t>二</w:t>
      </w:r>
      <w:r>
        <w:rPr>
          <w:rFonts w:hint="eastAsia" w:ascii="宋体" w:eastAsia="宋体" w:cs="宋体"/>
          <w:b/>
          <w:bCs/>
          <w:color w:val="auto"/>
          <w:kern w:val="0"/>
          <w:sz w:val="28"/>
          <w:highlight w:val="none"/>
          <w:lang w:val="zh-CN"/>
        </w:rPr>
        <w:t>、维护保养期限</w:t>
      </w:r>
    </w:p>
    <w:p>
      <w:pPr>
        <w:snapToGrid w:val="0"/>
        <w:spacing w:line="300" w:lineRule="auto"/>
        <w:ind w:firstLine="560" w:firstLineChars="200"/>
        <w:contextualSpacing/>
        <w:rPr>
          <w:rFonts w:ascii="宋体" w:hAnsi="宋体" w:cs="宋体"/>
          <w:color w:val="auto"/>
          <w:kern w:val="0"/>
          <w:sz w:val="28"/>
          <w:highlight w:val="none"/>
          <w:lang w:val="zh-CN"/>
        </w:rPr>
      </w:pPr>
      <w:r>
        <w:rPr>
          <w:rFonts w:hint="eastAsia" w:ascii="宋体" w:hAnsi="宋体" w:cs="宋体"/>
          <w:color w:val="auto"/>
          <w:sz w:val="28"/>
          <w:szCs w:val="28"/>
          <w:highlight w:val="none"/>
        </w:rPr>
        <w:t>一年（自2022年6月19日起至2023年6月18日止）。如成交供应商服务质量高，采购人满意，可以采取1+N年［N≤2］方式续签合同</w:t>
      </w:r>
      <w:r>
        <w:rPr>
          <w:rFonts w:hint="eastAsia" w:ascii="宋体" w:hAnsi="宋体" w:cs="宋体"/>
          <w:color w:val="auto"/>
          <w:kern w:val="0"/>
          <w:sz w:val="28"/>
          <w:highlight w:val="none"/>
          <w:lang w:val="zh-CN"/>
        </w:rPr>
        <w:t>。如成交供应商未按合同条款履约的，采购单位可单方终止合同。</w:t>
      </w:r>
    </w:p>
    <w:p>
      <w:pPr>
        <w:pStyle w:val="39"/>
        <w:snapToGrid w:val="0"/>
        <w:spacing w:line="500" w:lineRule="exact"/>
        <w:ind w:firstLine="562" w:firstLineChars="200"/>
        <w:contextualSpacing/>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rPr>
        <w:t>三</w:t>
      </w:r>
      <w:r>
        <w:rPr>
          <w:rFonts w:hint="eastAsia" w:ascii="宋体" w:eastAsia="宋体" w:cs="宋体"/>
          <w:b/>
          <w:bCs/>
          <w:color w:val="auto"/>
          <w:kern w:val="0"/>
          <w:sz w:val="28"/>
          <w:highlight w:val="none"/>
          <w:lang w:val="zh-CN"/>
        </w:rPr>
        <w:t>、维保具体内容：</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（一）每年八月上旬和二月上旬对所有空调、空气能进行系统检查维保，含以下内容：</w:t>
      </w:r>
    </w:p>
    <w:p>
      <w:pPr>
        <w:pStyle w:val="39"/>
        <w:snapToGrid w:val="0"/>
        <w:spacing w:line="500" w:lineRule="exact"/>
        <w:ind w:firstLine="562" w:firstLineChars="200"/>
        <w:contextualSpacing/>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lang w:val="zh-CN"/>
        </w:rPr>
        <w:t>1、冷媒系统</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a. 冷媒管路接口冷媒泄漏检查；</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b. 冷媒管路接口冷冻油泄漏检查；</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c. 冷媒系统压力测定；</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d. 冷媒系统部件/紧固件的确认；</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e. 冷媒系统冷媒量的确认；</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f. 冷媒系统冷冻油量的确认；</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g.压缩机所属电磁阀动作状况的检查；</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h.热交换器的清洁保养；</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i. 冷媒管道保温检查、保养。</w:t>
      </w:r>
    </w:p>
    <w:p>
      <w:pPr>
        <w:pStyle w:val="39"/>
        <w:snapToGrid w:val="0"/>
        <w:spacing w:line="500" w:lineRule="exact"/>
        <w:ind w:firstLine="562" w:firstLineChars="200"/>
        <w:contextualSpacing/>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lang w:val="zh-CN"/>
        </w:rPr>
        <w:t>2、电气系统</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a. 压缩机工作电流的测定；</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b. 压缩机绝缘阻值的测定；</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c. 压缩机运转/震动音的判定；</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d. 压缩机工作电压的测定；</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e.机组工作电压的测定；</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f.加热器工作状况的测定；</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g.电器部件螺丝和紧固件的确认；</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h.盘管侧热敏电阻阻值的测定；</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i.控制线路的检查及修复（断裂，短路，破损）；</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j.电器控制部件的调整；</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k.控制部件工作电流的测定；</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l.压缩机用热敏电阻的测定；</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m.检查机组的设定程序运转情况；</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n.检查，清洁电气箱；</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o.保护装置部件状态的确认和调整。</w:t>
      </w:r>
    </w:p>
    <w:p>
      <w:pPr>
        <w:pStyle w:val="39"/>
        <w:snapToGrid w:val="0"/>
        <w:spacing w:line="500" w:lineRule="exact"/>
        <w:ind w:firstLine="562" w:firstLineChars="200"/>
        <w:contextualSpacing/>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lang w:val="zh-CN"/>
        </w:rPr>
        <w:t>3、运转状态的确认</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a.吸入/排出温度的测定；</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b.过滤网的清洗、消毒；</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c.排水管的检查、冲洗；</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d.外观检查污染清扫；</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e.积水盘的清洗；</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f.排水泵的运转确认；</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g.风扇运转的测定；</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h.点检表的制作。</w:t>
      </w:r>
    </w:p>
    <w:p>
      <w:pPr>
        <w:pStyle w:val="39"/>
        <w:snapToGrid w:val="0"/>
        <w:spacing w:line="500" w:lineRule="exact"/>
        <w:ind w:firstLine="562" w:firstLineChars="200"/>
        <w:contextualSpacing/>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lang w:val="zh-CN"/>
        </w:rPr>
        <w:t>4、其他</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a.水系统水过滤器的拆洗修复；</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b.风冷热泵机组冷凝器铝翅片的清洗；</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c.室内送回风口的清洗。</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（二）空气能维护保养其他特别要求</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1.每季度定期检查机组的电源和电气系统的接线是否牢固，电气元件是否有动作异常，如有应及时维修和更换。</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2.每月对机组进口安装的Y型过滤器应定期清洗，保证系统内水质清洁，以避免机组因过滤器脏堵而造成主机损坏。</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3.及时清理机组周围堆放的杂物，以免堵塞进出风口，机组四周应保持清洁干燥 ，通风良好。</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4.每月检查水系统的补水、水箱溢流阀、液位控制器和排污装置工作是否正常，以免造成水箱漏水和污垢沉积。</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5、每季度检查机组的各个部件的工作情况，检查机内管路接头和充气阀门是否有油污，确保机 组制冷剂无泄露。</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6、每季度清洗机组空气侧换热器，保证换热器表面无积灰和粉絮，从而保持良好的换热效果。</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7、每月定期检查水泵、水路阀门是否工作正常 ，水管路及水管接头是否渗漏。</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8、每年使用除垢剂清洗水侧换热器，启动主机循环水泵清洗45分钟，最后用自来水清洗3遍，禁止用腐蚀性清洗液清洗冷凝器。</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9、若停机时间较长，应将机组管路中的水放掉，并切断电源，套好防护罩。再运行时，开机前对系统进行全面检查。</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10、每季度对水箱进行排空除水垢，确保水箱底部无沉淀物和青苔。</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（三）空调和空气能运行期间，应做好巡检工作，每季向采购单位递交巡检报告一份；巡检期间，主要做好如下工作：</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1、检查确认通常的运行条件和运行状态；</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2、记录运行状态，并进行数据分析，找出不合理的地方；</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3、按要求调节运行控制；</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4、检查确认油温和制冷液量充注正确；</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5、检查油温和油加热器；</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6、检查启动器、继电器和控制元件；</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7、与操作人员一起温习操作步骤，查看用户记录；</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（四）发生应急维修情况的，成交供应商在接到报修电话后的三小时内必须赶到现场处理故障，否则视为违约，由此造成的损失由成交供应商负责。同时每延迟1小时，扣罚服务费500元。</w:t>
      </w:r>
    </w:p>
    <w:p>
      <w:pPr>
        <w:pStyle w:val="39"/>
        <w:snapToGrid w:val="0"/>
        <w:spacing w:line="500" w:lineRule="exact"/>
        <w:ind w:firstLine="562" w:firstLineChars="200"/>
        <w:contextualSpacing/>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rPr>
        <w:t>四</w:t>
      </w:r>
      <w:r>
        <w:rPr>
          <w:rFonts w:hint="eastAsia" w:ascii="宋体" w:eastAsia="宋体" w:cs="宋体"/>
          <w:b/>
          <w:bCs/>
          <w:color w:val="auto"/>
          <w:kern w:val="0"/>
          <w:sz w:val="28"/>
          <w:highlight w:val="none"/>
          <w:lang w:val="zh-CN"/>
        </w:rPr>
        <w:t>、维保要求</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1、确保机组良好的运行状态。</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2、在接到采购单位应急维修后，3小时内安排人员到达现场进行免费处理，一般故障当日完成，复杂性故障应在48小时内完成。</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3、每次维保结束后十日内向采购单位提供详细的书面报告，包括每台设备的点检报告、维护保养情况报告，报告应分别由双方现场负责人确认签字后存档。</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4、在采购单位有重要活动时，成交供应商应派维修人员到现场进行配合。</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5、每年免费为采购单位操作人员提供空调、空气能相关技术咨询与培训。</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6、成交供应商在本项目上的服务人员需相应固定，投标文件中应包含维保负责人员名单、联系方式等资料。</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7、在维修保养过程中的人身安全等安全责任由成交供应商负责，采购单位不承担任何责任和费用</w:t>
      </w:r>
    </w:p>
    <w:p>
      <w:pPr>
        <w:pStyle w:val="39"/>
        <w:snapToGrid w:val="0"/>
        <w:spacing w:line="500" w:lineRule="exact"/>
        <w:ind w:firstLine="562" w:firstLineChars="200"/>
        <w:contextualSpacing/>
        <w:rPr>
          <w:rFonts w:ascii="宋体" w:eastAsia="宋体" w:cs="宋体"/>
          <w:b/>
          <w:bCs/>
          <w:color w:val="auto"/>
          <w:kern w:val="0"/>
          <w:sz w:val="28"/>
          <w:highlight w:val="none"/>
          <w:lang w:val="zh-CN"/>
        </w:rPr>
      </w:pPr>
      <w:r>
        <w:rPr>
          <w:rFonts w:hint="eastAsia" w:ascii="宋体" w:eastAsia="宋体" w:cs="宋体"/>
          <w:b/>
          <w:bCs/>
          <w:color w:val="auto"/>
          <w:kern w:val="0"/>
          <w:sz w:val="28"/>
          <w:highlight w:val="none"/>
        </w:rPr>
        <w:t>五</w:t>
      </w:r>
      <w:r>
        <w:rPr>
          <w:rFonts w:hint="eastAsia" w:ascii="宋体" w:eastAsia="宋体" w:cs="宋体"/>
          <w:b/>
          <w:bCs/>
          <w:color w:val="auto"/>
          <w:kern w:val="0"/>
          <w:sz w:val="28"/>
          <w:highlight w:val="none"/>
          <w:lang w:val="zh-CN"/>
        </w:rPr>
        <w:t>、配件、材料更换</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1.维保过程中发生的另行计价配件和消耗性材料处理方式：</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1）另行计价配件指在空调、空气能在使用过程中，设备老化或意外事故造成故障必须更换的设备配件（如压缩机、控制板、变频机、风机马达、遥控器等）所产生的材料费由采购单位承担，价格参照供应商填报的《主要配件</w:t>
      </w:r>
      <w:r>
        <w:rPr>
          <w:rFonts w:hint="eastAsia" w:ascii="宋体" w:eastAsia="宋体" w:cs="宋体"/>
          <w:color w:val="auto"/>
          <w:kern w:val="0"/>
          <w:sz w:val="28"/>
          <w:highlight w:val="none"/>
        </w:rPr>
        <w:t>报价表</w:t>
      </w:r>
      <w:r>
        <w:rPr>
          <w:rFonts w:hint="eastAsia" w:ascii="宋体" w:eastAsia="宋体" w:cs="宋体"/>
          <w:color w:val="auto"/>
          <w:kern w:val="0"/>
          <w:sz w:val="28"/>
          <w:highlight w:val="none"/>
          <w:lang w:val="zh-CN"/>
        </w:rPr>
        <w:t>》（</w:t>
      </w:r>
      <w:r>
        <w:rPr>
          <w:rFonts w:hint="eastAsia" w:ascii="宋体" w:eastAsia="宋体" w:cs="宋体"/>
          <w:color w:val="auto"/>
          <w:kern w:val="0"/>
          <w:sz w:val="28"/>
          <w:highlight w:val="none"/>
        </w:rPr>
        <w:t>见第七部分</w:t>
      </w:r>
      <w:r>
        <w:rPr>
          <w:rFonts w:hint="eastAsia" w:ascii="宋体" w:eastAsia="宋体" w:cs="宋体"/>
          <w:color w:val="auto"/>
          <w:kern w:val="0"/>
          <w:sz w:val="28"/>
          <w:highlight w:val="none"/>
          <w:lang w:val="zh-CN"/>
        </w:rPr>
        <w:t>）执行，如校方认为供应商的报价偏高，校方可以自行购买，供应商负责免费更换。主要配件更换必须事先征得采购单位同意，由采购单位负责人签字确认。</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2）消耗材料指维保过程中使用的材料，如保养过程中冷媒、冷冻油、电磁接触器、油漆、螺丝、螺栓等标准件、电气熔断丝、保险管、纱布、纱带、螺丝、电线、生料带、胶布、保温管、带、机油、黄油、焊丝、焊膏等所产生的材料配件费用由中标单位承担。</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2.发生空调、空气能改造性质的维修，所有配件材料和人工费用全部由采购单位承担。</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六、其他</w:t>
      </w:r>
    </w:p>
    <w:p>
      <w:pPr>
        <w:spacing w:line="460" w:lineRule="exact"/>
        <w:ind w:firstLine="560" w:firstLineChars="200"/>
        <w:rPr>
          <w:rFonts w:ascii="仿宋" w:hAnsi="仿宋" w:eastAsia="仿宋" w:cs="仿宋"/>
          <w:b/>
          <w:bCs/>
          <w:color w:val="auto"/>
          <w:kern w:val="0"/>
          <w:sz w:val="28"/>
          <w:szCs w:val="28"/>
          <w:highlight w:val="none"/>
          <w:lang w:val="zh-CN"/>
        </w:rPr>
      </w:pPr>
      <w:r>
        <w:rPr>
          <w:rFonts w:hint="eastAsia" w:ascii="宋体" w:hAnsi="宋体" w:cs="宋体"/>
          <w:color w:val="auto"/>
          <w:kern w:val="0"/>
          <w:sz w:val="28"/>
          <w:szCs w:val="28"/>
          <w:highlight w:val="none"/>
          <w:lang w:val="zh-CN"/>
        </w:rPr>
        <w:t>现场勘查：</w:t>
      </w:r>
      <w:r>
        <w:rPr>
          <w:rFonts w:hint="eastAsia" w:ascii="仿宋" w:hAnsi="仿宋" w:eastAsia="仿宋" w:cs="仿宋"/>
          <w:b/>
          <w:bCs/>
          <w:color w:val="auto"/>
          <w:kern w:val="0"/>
          <w:sz w:val="28"/>
          <w:szCs w:val="28"/>
          <w:highlight w:val="none"/>
        </w:rPr>
        <w:t>本项目现场情况比较复杂，供应商投标前需到采购方踏勘现场，领取采购方后勤处出具的踏勘现场证明后方可参与投标（踏勘现场证明开标时随身携带提交给代理公司查验，没有踏勘证明不得参与投标）。踏勘现场时间为：2022年6月5日9:00-11:00、14:00-17:00,采购方联系人：</w:t>
      </w:r>
      <w:r>
        <w:rPr>
          <w:rFonts w:hint="eastAsia" w:ascii="仿宋" w:hAnsi="仿宋" w:eastAsia="仿宋" w:cs="仿宋"/>
          <w:b/>
          <w:bCs/>
          <w:color w:val="auto"/>
          <w:kern w:val="0"/>
          <w:sz w:val="28"/>
          <w:szCs w:val="28"/>
          <w:highlight w:val="none"/>
          <w:lang w:val="zh-CN"/>
        </w:rPr>
        <w:t>吴老师，联系电话0513-89178518。因采购方为今年高考考点，供应商代表踏勘现场时需提供48小时核酸检测阴性报告，接种加强针证明，苏康码为绿，行程码不带*，否则不得进入现场。踏勘现场时，供应商代表需持营业执照（经营范围符合本项目要求）原件、本人身份证原件（非法定代表人还需提供有效的法定代表人授权书原件）。</w:t>
      </w:r>
    </w:p>
    <w:p>
      <w:pPr>
        <w:pStyle w:val="39"/>
        <w:snapToGrid w:val="0"/>
        <w:spacing w:line="500" w:lineRule="exact"/>
        <w:ind w:firstLine="560" w:firstLineChars="200"/>
        <w:contextualSpacing/>
        <w:rPr>
          <w:rFonts w:ascii="宋体" w:eastAsia="宋体" w:cs="宋体"/>
          <w:color w:val="auto"/>
          <w:sz w:val="28"/>
          <w:highlight w:val="none"/>
        </w:rPr>
        <w:sectPr>
          <w:pgSz w:w="11907" w:h="16839"/>
          <w:pgMar w:top="1440" w:right="726" w:bottom="873" w:left="1236" w:header="720" w:footer="720" w:gutter="0"/>
          <w:cols w:space="720" w:num="1"/>
          <w:docGrid w:linePitch="286" w:charSpace="0"/>
        </w:sectPr>
      </w:pPr>
    </w:p>
    <w:p>
      <w:pPr>
        <w:numPr>
          <w:ilvl w:val="0"/>
          <w:numId w:val="3"/>
        </w:numPr>
        <w:autoSpaceDE w:val="0"/>
        <w:autoSpaceDN w:val="0"/>
        <w:adjustRightInd w:val="0"/>
        <w:snapToGrid w:val="0"/>
        <w:spacing w:line="300" w:lineRule="auto"/>
        <w:jc w:val="center"/>
        <w:rPr>
          <w:rFonts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t xml:space="preserve"> 评审程序和内容</w:t>
      </w:r>
    </w:p>
    <w:p>
      <w:pPr>
        <w:pStyle w:val="9"/>
        <w:spacing w:line="500" w:lineRule="exact"/>
        <w:rPr>
          <w:rFonts w:ascii="宋体" w:hAnsi="宋体" w:cs="宋体"/>
          <w:color w:val="auto"/>
          <w:highlight w:val="none"/>
          <w:lang w:val="zh-CN"/>
        </w:rPr>
      </w:pPr>
    </w:p>
    <w:p>
      <w:pPr>
        <w:autoSpaceDE w:val="0"/>
        <w:autoSpaceDN w:val="0"/>
        <w:adjustRightInd w:val="0"/>
        <w:snapToGrid w:val="0"/>
        <w:spacing w:line="500" w:lineRule="exact"/>
        <w:ind w:right="210" w:firstLine="560"/>
        <w:rPr>
          <w:rFonts w:ascii="宋体" w:hAnsi="宋体" w:cs="宋体"/>
          <w:b/>
          <w:color w:val="auto"/>
          <w:sz w:val="28"/>
          <w:szCs w:val="28"/>
          <w:highlight w:val="none"/>
          <w:lang w:val="zh-CN"/>
        </w:rPr>
      </w:pPr>
      <w:r>
        <w:rPr>
          <w:rFonts w:hint="eastAsia" w:ascii="宋体" w:hAnsi="宋体" w:cs="宋体"/>
          <w:b/>
          <w:color w:val="auto"/>
          <w:sz w:val="28"/>
          <w:szCs w:val="28"/>
          <w:highlight w:val="none"/>
          <w:lang w:val="zh-CN"/>
        </w:rPr>
        <w:t>一、采购代理机构组织磋商活动</w:t>
      </w:r>
    </w:p>
    <w:p>
      <w:pPr>
        <w:pStyle w:val="39"/>
        <w:snapToGrid w:val="0"/>
        <w:spacing w:line="500" w:lineRule="exact"/>
        <w:ind w:firstLine="562" w:firstLineChars="200"/>
        <w:contextualSpacing/>
        <w:rPr>
          <w:rFonts w:ascii="宋体" w:eastAsia="宋体" w:cs="宋体"/>
          <w:color w:val="auto"/>
          <w:kern w:val="0"/>
          <w:sz w:val="28"/>
          <w:highlight w:val="none"/>
          <w:lang w:val="zh-CN"/>
        </w:rPr>
      </w:pPr>
      <w:r>
        <w:rPr>
          <w:rFonts w:hint="eastAsia" w:ascii="宋体" w:eastAsia="宋体" w:cs="宋体"/>
          <w:b/>
          <w:color w:val="auto"/>
          <w:kern w:val="0"/>
          <w:sz w:val="28"/>
          <w:highlight w:val="none"/>
          <w:lang w:val="zh-CN"/>
        </w:rPr>
        <w:t>1、成立竞争性磋商小组。</w:t>
      </w:r>
      <w:r>
        <w:rPr>
          <w:rFonts w:hint="eastAsia" w:ascii="宋体" w:eastAsia="宋体" w:cs="宋体"/>
          <w:color w:val="auto"/>
          <w:kern w:val="0"/>
          <w:sz w:val="28"/>
          <w:highlight w:val="none"/>
          <w:lang w:val="zh-CN"/>
        </w:rPr>
        <w:t>竞争性磋商小组由采购人代表和评审专家共3人组成，其中评审专家人数不得少于竞争性磋商小组成员总数的2/3。采购人不得以评审专家身份参加本单位采购项目的评审。采购代理机构人员不得参加本机构代理的采购项目的评审。</w:t>
      </w:r>
    </w:p>
    <w:p>
      <w:pPr>
        <w:spacing w:line="500" w:lineRule="exact"/>
        <w:ind w:firstLine="562" w:firstLineChars="200"/>
        <w:rPr>
          <w:rFonts w:ascii="宋体" w:hAnsi="宋体" w:cs="宋体"/>
          <w:b/>
          <w:color w:val="auto"/>
          <w:kern w:val="0"/>
          <w:sz w:val="28"/>
          <w:szCs w:val="28"/>
          <w:highlight w:val="none"/>
          <w:lang w:val="zh-CN"/>
        </w:rPr>
      </w:pPr>
      <w:r>
        <w:rPr>
          <w:rFonts w:hint="eastAsia" w:ascii="宋体" w:hAnsi="宋体" w:cs="宋体"/>
          <w:b/>
          <w:color w:val="auto"/>
          <w:kern w:val="0"/>
          <w:sz w:val="28"/>
          <w:szCs w:val="28"/>
          <w:highlight w:val="none"/>
          <w:lang w:val="zh-CN"/>
        </w:rPr>
        <w:t>2、竞争性磋商小组的职责：</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评审专家应当遵守评审工作纪律，不得泄露评审情况和评审中获悉的商业秘密。</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磋商小组在评审过程中发现供应商有行贿、提供虚假材料或者串通等违法行为的，应当及时向财政部门报告。</w:t>
      </w:r>
    </w:p>
    <w:p>
      <w:pPr>
        <w:pStyle w:val="39"/>
        <w:snapToGrid w:val="0"/>
        <w:spacing w:line="500" w:lineRule="exact"/>
        <w:ind w:firstLine="560" w:firstLineChars="200"/>
        <w:contextualSpacing/>
        <w:rPr>
          <w:rFonts w:ascii="宋体" w:eastAsia="宋体" w:cs="宋体"/>
          <w:color w:val="auto"/>
          <w:kern w:val="0"/>
          <w:sz w:val="28"/>
          <w:highlight w:val="none"/>
        </w:rPr>
      </w:pPr>
      <w:r>
        <w:rPr>
          <w:rFonts w:hint="eastAsia" w:ascii="宋体" w:eastAsia="宋体" w:cs="宋体"/>
          <w:color w:val="auto"/>
          <w:kern w:val="0"/>
          <w:sz w:val="28"/>
          <w:highlight w:val="none"/>
          <w:lang w:val="zh-CN"/>
        </w:rPr>
        <w:t>评审专家在评审过程中受到非法干涉的，应当及时向财政、监察等部门举报。</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磋商文件内容违反国家有关强制性规定的，磋商小组应当停止评审并向采购人或者采购代理机构说明情况。</w:t>
      </w:r>
    </w:p>
    <w:p>
      <w:pPr>
        <w:pStyle w:val="39"/>
        <w:snapToGrid w:val="0"/>
        <w:spacing w:line="500" w:lineRule="exact"/>
        <w:ind w:firstLine="562" w:firstLineChars="200"/>
        <w:contextualSpacing/>
        <w:rPr>
          <w:rFonts w:ascii="宋体" w:eastAsia="宋体" w:cs="宋体"/>
          <w:b/>
          <w:color w:val="auto"/>
          <w:kern w:val="0"/>
          <w:sz w:val="28"/>
          <w:highlight w:val="none"/>
          <w:lang w:val="zh-CN"/>
        </w:rPr>
      </w:pPr>
      <w:r>
        <w:rPr>
          <w:rFonts w:hint="eastAsia" w:ascii="宋体" w:eastAsia="宋体" w:cs="宋体"/>
          <w:b/>
          <w:color w:val="auto"/>
          <w:kern w:val="0"/>
          <w:sz w:val="28"/>
          <w:highlight w:val="none"/>
          <w:lang w:val="zh-CN"/>
        </w:rPr>
        <w:t>3、竞争性磋商小组成员的义务：</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遵纪守法，客观、公正、廉洁地履行职责；根据采购文件的规定独立进行评审，对个人的评审意见承担法律责任；参与评审报告的起草；配合采购人、代理机构答复供应商提出的质疑；配合财政部门的投诉处理和监督检查工作。</w:t>
      </w:r>
    </w:p>
    <w:p>
      <w:pPr>
        <w:pStyle w:val="39"/>
        <w:snapToGrid w:val="0"/>
        <w:spacing w:line="500" w:lineRule="exact"/>
        <w:ind w:firstLine="562" w:firstLineChars="200"/>
        <w:contextualSpacing/>
        <w:rPr>
          <w:rFonts w:ascii="宋体" w:eastAsia="宋体" w:cs="宋体"/>
          <w:b/>
          <w:color w:val="auto"/>
          <w:sz w:val="28"/>
          <w:highlight w:val="none"/>
        </w:rPr>
      </w:pPr>
      <w:r>
        <w:rPr>
          <w:rFonts w:hint="eastAsia" w:ascii="宋体" w:eastAsia="宋体" w:cs="宋体"/>
          <w:b/>
          <w:color w:val="auto"/>
          <w:kern w:val="0"/>
          <w:sz w:val="28"/>
          <w:highlight w:val="none"/>
          <w:lang w:val="zh-CN"/>
        </w:rPr>
        <w:t>二、</w:t>
      </w:r>
      <w:r>
        <w:rPr>
          <w:rFonts w:hint="eastAsia" w:ascii="宋体" w:eastAsia="宋体" w:cs="宋体"/>
          <w:b/>
          <w:color w:val="auto"/>
          <w:sz w:val="28"/>
          <w:highlight w:val="none"/>
        </w:rPr>
        <w:t>供应商的法定代表人或授权人须持身份证准时参加磋商。</w:t>
      </w:r>
    </w:p>
    <w:p>
      <w:pPr>
        <w:autoSpaceDE w:val="0"/>
        <w:autoSpaceDN w:val="0"/>
        <w:adjustRightInd w:val="0"/>
        <w:snapToGrid w:val="0"/>
        <w:spacing w:line="500" w:lineRule="exact"/>
        <w:ind w:right="210"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三、评审程序、内容</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磋商小组要求供应商澄清、说明或者更正响应文件应当以书面形式作出。供应商的澄清、说明或者更正应当由法定代表人或其授权代表签字或者加盖公章。由授权代表签字的，应当附法定代表人授权书。</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2、磋商小组所有成员应当给予所有参加磋商的供应商平等的磋商机会。</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3、在磋商过程中，磋商小组可以根据磋商文件和磋商情况实质性变动采购需求中的技术、服务要求以及合同草案条款，但不得变动磋商文件中的其他内容。实质性变动的内容，须经采购人代表确认。</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对磋商文件作出的实质性变动是磋商文件的有效组成部分，磋商小组应当及时以书面形式同时通知所有参加磋商的供应商。</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4、磋商文件能够详细列明采购标的的技术、服务要求的，磋商结束后，磋商小组应当要求所有实质性响应的供应商在规定时间内提交最后报价，提交最后报价的供应商不得少于3家。</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5、最后报价是供应商响应文件的有效组成部分。</w:t>
      </w:r>
    </w:p>
    <w:p>
      <w:pPr>
        <w:pStyle w:val="39"/>
        <w:snapToGrid w:val="0"/>
        <w:spacing w:line="500" w:lineRule="exact"/>
        <w:ind w:firstLine="560" w:firstLineChars="200"/>
        <w:contextualSpacing/>
        <w:rPr>
          <w:rFonts w:ascii="宋体" w:eastAsia="宋体" w:cs="宋体"/>
          <w:color w:val="auto"/>
          <w:kern w:val="0"/>
          <w:sz w:val="28"/>
          <w:highlight w:val="none"/>
          <w:lang w:val="zh-CN"/>
        </w:rPr>
      </w:pPr>
      <w:r>
        <w:rPr>
          <w:rFonts w:hint="eastAsia" w:ascii="宋体" w:eastAsia="宋体" w:cs="宋体"/>
          <w:color w:val="auto"/>
          <w:kern w:val="0"/>
          <w:sz w:val="28"/>
          <w:highlight w:val="none"/>
          <w:lang w:val="zh-CN"/>
        </w:rPr>
        <w:t>磋商时间由磋商小组掌握。</w:t>
      </w:r>
    </w:p>
    <w:p>
      <w:pPr>
        <w:pStyle w:val="39"/>
        <w:snapToGrid w:val="0"/>
        <w:spacing w:line="500" w:lineRule="exact"/>
        <w:ind w:firstLine="579"/>
        <w:contextualSpacing/>
        <w:rPr>
          <w:rFonts w:ascii="宋体" w:eastAsia="宋体" w:cs="宋体"/>
          <w:b/>
          <w:color w:val="auto"/>
          <w:sz w:val="28"/>
          <w:highlight w:val="none"/>
        </w:rPr>
      </w:pPr>
      <w:r>
        <w:rPr>
          <w:rFonts w:hint="eastAsia" w:ascii="宋体" w:eastAsia="宋体" w:cs="宋体"/>
          <w:b/>
          <w:color w:val="auto"/>
          <w:sz w:val="28"/>
          <w:highlight w:val="none"/>
        </w:rPr>
        <w:t>四、评审方法-综合评分法</w:t>
      </w:r>
    </w:p>
    <w:p>
      <w:pPr>
        <w:pStyle w:val="39"/>
        <w:snapToGrid w:val="0"/>
        <w:spacing w:line="500" w:lineRule="exact"/>
        <w:ind w:firstLine="577"/>
        <w:contextualSpacing/>
        <w:rPr>
          <w:rFonts w:ascii="宋体" w:eastAsia="宋体" w:cs="宋体"/>
          <w:color w:val="auto"/>
          <w:sz w:val="28"/>
          <w:highlight w:val="none"/>
        </w:rPr>
      </w:pPr>
      <w:r>
        <w:rPr>
          <w:rFonts w:hint="eastAsia" w:ascii="宋体" w:eastAsia="宋体" w:cs="宋体"/>
          <w:color w:val="auto"/>
          <w:sz w:val="28"/>
          <w:highlight w:val="none"/>
        </w:rPr>
        <w:t>经磋商确定最终采购需求和提交最后报价的供应商后，由磋商小组采用综合评分法对提交最后报价的供应商的响应文件和最后报价进行综合评分。</w:t>
      </w:r>
    </w:p>
    <w:p>
      <w:pPr>
        <w:pStyle w:val="39"/>
        <w:snapToGrid w:val="0"/>
        <w:spacing w:line="500" w:lineRule="exact"/>
        <w:ind w:firstLine="577"/>
        <w:contextualSpacing/>
        <w:rPr>
          <w:rFonts w:ascii="宋体" w:eastAsia="宋体" w:cs="宋体"/>
          <w:color w:val="auto"/>
          <w:sz w:val="28"/>
          <w:highlight w:val="none"/>
        </w:rPr>
      </w:pPr>
      <w:r>
        <w:rPr>
          <w:rFonts w:hint="eastAsia" w:ascii="宋体" w:eastAsia="宋体" w:cs="宋体"/>
          <w:color w:val="auto"/>
          <w:sz w:val="28"/>
          <w:highlight w:val="none"/>
        </w:rPr>
        <w:t>综合评分法，是指响应文件满足磋商文件全部实质性要求且按评审因素的量化指标评审得分最高的供应商为成交候选供应商的评审方法。本项目如响应文件满足磋商文件全部实质性要求只有3家的只设一个中标候选人，如有4家的，则设第一、第二中标候选人。评审结束后，第一中标候选人因故丧失或放弃成交资格的，采购方可确定第二中标候选人为成交人，也可重新组织招标，具体由采购方研究决定。</w:t>
      </w:r>
    </w:p>
    <w:p>
      <w:pPr>
        <w:pStyle w:val="39"/>
        <w:snapToGrid w:val="0"/>
        <w:spacing w:line="500" w:lineRule="exact"/>
        <w:ind w:firstLine="577"/>
        <w:contextualSpacing/>
        <w:rPr>
          <w:rFonts w:ascii="宋体" w:eastAsia="宋体" w:cs="宋体"/>
          <w:color w:val="auto"/>
          <w:sz w:val="28"/>
          <w:highlight w:val="none"/>
        </w:rPr>
      </w:pPr>
      <w:r>
        <w:rPr>
          <w:rFonts w:hint="eastAsia" w:ascii="宋体" w:eastAsia="宋体" w:cs="宋体"/>
          <w:color w:val="auto"/>
          <w:sz w:val="28"/>
          <w:highlight w:val="none"/>
        </w:rPr>
        <w:t>评审时，磋商小组各成员应当独立对每个有效响应的文件进行评价、打分，然后汇总每个供应商每项评分因素的得分。</w:t>
      </w:r>
    </w:p>
    <w:p>
      <w:pPr>
        <w:snapToGrid w:val="0"/>
        <w:spacing w:line="50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（一）审查响应文件的有效性、完整性、响应程度</w:t>
      </w:r>
    </w:p>
    <w:p>
      <w:pPr>
        <w:snapToGrid w:val="0"/>
        <w:spacing w:line="5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1、要求的保证金是否已提供；</w:t>
      </w:r>
    </w:p>
    <w:p>
      <w:pPr>
        <w:snapToGrid w:val="0"/>
        <w:spacing w:line="50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2、供应商资格是否符合;</w:t>
      </w:r>
    </w:p>
    <w:p>
      <w:pPr>
        <w:snapToGrid w:val="0"/>
        <w:spacing w:line="5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3、响应文件是否完整；</w:t>
      </w:r>
    </w:p>
    <w:p>
      <w:pPr>
        <w:snapToGrid w:val="0"/>
        <w:spacing w:line="5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4、响应文件是否恰当地签署；</w:t>
      </w:r>
    </w:p>
    <w:p>
      <w:pPr>
        <w:snapToGrid w:val="0"/>
        <w:spacing w:line="500" w:lineRule="exact"/>
        <w:ind w:firstLine="540"/>
        <w:rPr>
          <w:rFonts w:ascii="宋体" w:hAnsi="宋体" w:cs="宋体"/>
          <w:b/>
          <w:color w:val="auto"/>
          <w:sz w:val="28"/>
          <w:szCs w:val="28"/>
          <w:highlight w:val="none"/>
        </w:rPr>
      </w:pPr>
      <w:r>
        <w:rPr>
          <w:rFonts w:hint="eastAsia" w:ascii="宋体" w:hAnsi="宋体" w:cs="宋体"/>
          <w:color w:val="auto"/>
          <w:sz w:val="28"/>
          <w:szCs w:val="28"/>
          <w:highlight w:val="none"/>
        </w:rPr>
        <w:t>5、是否作出实质性响应（</w:t>
      </w:r>
      <w:r>
        <w:rPr>
          <w:rFonts w:hint="eastAsia" w:ascii="宋体" w:hAnsi="宋体" w:cs="宋体"/>
          <w:b/>
          <w:color w:val="auto"/>
          <w:sz w:val="28"/>
          <w:szCs w:val="28"/>
          <w:highlight w:val="none"/>
        </w:rPr>
        <w:t>是否有实质性响应，只根据响应文件本身，而不寻求外部证据）；</w:t>
      </w:r>
    </w:p>
    <w:p>
      <w:pPr>
        <w:snapToGrid w:val="0"/>
        <w:spacing w:line="5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6、是否有计算错误。</w:t>
      </w:r>
    </w:p>
    <w:p>
      <w:pPr>
        <w:snapToGrid w:val="0"/>
        <w:spacing w:line="50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（二）误差纠正</w:t>
      </w:r>
    </w:p>
    <w:p>
      <w:pPr>
        <w:snapToGrid w:val="0"/>
        <w:spacing w:line="50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1、</w:t>
      </w:r>
      <w:r>
        <w:rPr>
          <w:rFonts w:hint="eastAsia" w:ascii="宋体" w:hAnsi="宋体" w:cs="宋体"/>
          <w:color w:val="auto"/>
          <w:sz w:val="28"/>
          <w:szCs w:val="28"/>
          <w:highlight w:val="none"/>
        </w:rPr>
        <w:t>如果单价汇总金额与总价金额有出入，以单价金额计算结果为准；</w:t>
      </w:r>
    </w:p>
    <w:p>
      <w:pPr>
        <w:snapToGrid w:val="0"/>
        <w:spacing w:line="5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2、单价金额小数点有明显错位的，应以总价为准；</w:t>
      </w:r>
    </w:p>
    <w:p>
      <w:pPr>
        <w:snapToGrid w:val="0"/>
        <w:spacing w:line="5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3、正本与副本有矛盾的，以正本为准；</w:t>
      </w:r>
    </w:p>
    <w:p>
      <w:pPr>
        <w:snapToGrid w:val="0"/>
        <w:spacing w:line="5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4、若文件大写表示的数据与数字表示的有差别，以大写表示的数据为准。</w:t>
      </w:r>
    </w:p>
    <w:p>
      <w:pPr>
        <w:tabs>
          <w:tab w:val="left" w:pos="6555"/>
          <w:tab w:val="right" w:pos="8306"/>
        </w:tabs>
        <w:snapToGrid w:val="0"/>
        <w:spacing w:line="50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（三）出现下列情形之一的，作无效响应处理;</w:t>
      </w:r>
    </w:p>
    <w:p>
      <w:pPr>
        <w:snapToGrid w:val="0"/>
        <w:spacing w:line="500" w:lineRule="exact"/>
        <w:ind w:firstLine="570"/>
        <w:rPr>
          <w:rFonts w:ascii="宋体" w:hAnsi="宋体" w:cs="宋体"/>
          <w:color w:val="auto"/>
          <w:sz w:val="28"/>
          <w:szCs w:val="28"/>
          <w:highlight w:val="none"/>
        </w:rPr>
      </w:pPr>
      <w:r>
        <w:rPr>
          <w:rFonts w:hint="eastAsia" w:ascii="宋体" w:hAnsi="宋体" w:cs="宋体"/>
          <w:color w:val="auto"/>
          <w:sz w:val="28"/>
          <w:szCs w:val="28"/>
          <w:highlight w:val="none"/>
        </w:rPr>
        <w:t>1、未按照磋商文件规定要求签署、盖章的；</w:t>
      </w:r>
    </w:p>
    <w:p>
      <w:pPr>
        <w:snapToGrid w:val="0"/>
        <w:spacing w:line="500" w:lineRule="exact"/>
        <w:ind w:firstLine="570"/>
        <w:rPr>
          <w:rFonts w:ascii="宋体" w:hAnsi="宋体" w:cs="宋体"/>
          <w:color w:val="auto"/>
          <w:sz w:val="28"/>
          <w:szCs w:val="28"/>
          <w:highlight w:val="none"/>
        </w:rPr>
      </w:pPr>
      <w:r>
        <w:rPr>
          <w:rFonts w:hint="eastAsia" w:ascii="宋体" w:hAnsi="宋体" w:cs="宋体"/>
          <w:color w:val="auto"/>
          <w:sz w:val="28"/>
          <w:szCs w:val="28"/>
          <w:highlight w:val="none"/>
        </w:rPr>
        <w:t>2、不具备磋商文件中规定的资格要求的；</w:t>
      </w:r>
    </w:p>
    <w:p>
      <w:pPr>
        <w:snapToGrid w:val="0"/>
        <w:spacing w:line="500" w:lineRule="exact"/>
        <w:ind w:firstLine="570"/>
        <w:rPr>
          <w:rFonts w:ascii="宋体" w:hAnsi="宋体" w:cs="宋体"/>
          <w:color w:val="auto"/>
          <w:sz w:val="28"/>
          <w:szCs w:val="28"/>
          <w:highlight w:val="none"/>
        </w:rPr>
      </w:pPr>
      <w:r>
        <w:rPr>
          <w:rFonts w:hint="eastAsia" w:ascii="宋体" w:hAnsi="宋体" w:cs="宋体"/>
          <w:color w:val="auto"/>
          <w:sz w:val="28"/>
          <w:szCs w:val="28"/>
          <w:highlight w:val="none"/>
        </w:rPr>
        <w:t>3、响应报价超出预算的；</w:t>
      </w:r>
    </w:p>
    <w:p>
      <w:pPr>
        <w:snapToGrid w:val="0"/>
        <w:spacing w:line="500" w:lineRule="exact"/>
        <w:ind w:firstLine="570"/>
        <w:rPr>
          <w:rFonts w:ascii="宋体" w:hAnsi="宋体" w:cs="宋体"/>
          <w:color w:val="auto"/>
          <w:sz w:val="28"/>
          <w:szCs w:val="28"/>
          <w:highlight w:val="none"/>
        </w:rPr>
      </w:pPr>
      <w:r>
        <w:rPr>
          <w:rFonts w:hint="eastAsia" w:ascii="宋体" w:hAnsi="宋体" w:cs="宋体"/>
          <w:color w:val="auto"/>
          <w:sz w:val="28"/>
          <w:szCs w:val="28"/>
          <w:highlight w:val="none"/>
        </w:rPr>
        <w:t>4、不符合法律、法规和磋商文件中规定的其他实质性要求的。</w:t>
      </w:r>
    </w:p>
    <w:p>
      <w:pPr>
        <w:snapToGrid w:val="0"/>
        <w:spacing w:line="500" w:lineRule="exact"/>
        <w:ind w:firstLine="570"/>
        <w:rPr>
          <w:rFonts w:ascii="宋体" w:hAnsi="宋体" w:cs="宋体"/>
          <w:b/>
          <w:color w:val="auto"/>
          <w:sz w:val="28"/>
          <w:szCs w:val="28"/>
          <w:highlight w:val="none"/>
        </w:rPr>
      </w:pPr>
      <w:r>
        <w:rPr>
          <w:rFonts w:hint="eastAsia" w:ascii="宋体" w:hAnsi="宋体" w:cs="宋体"/>
          <w:b/>
          <w:color w:val="auto"/>
          <w:sz w:val="28"/>
          <w:szCs w:val="28"/>
          <w:highlight w:val="none"/>
        </w:rPr>
        <w:t>（四）出现下列情形之一的，磋商失败：</w:t>
      </w:r>
    </w:p>
    <w:p>
      <w:pPr>
        <w:snapToGrid w:val="0"/>
        <w:spacing w:line="500" w:lineRule="exact"/>
        <w:ind w:firstLine="570"/>
        <w:rPr>
          <w:rFonts w:ascii="宋体" w:hAnsi="宋体" w:cs="宋体"/>
          <w:color w:val="auto"/>
          <w:sz w:val="28"/>
          <w:szCs w:val="28"/>
          <w:highlight w:val="none"/>
        </w:rPr>
      </w:pPr>
      <w:r>
        <w:rPr>
          <w:rFonts w:hint="eastAsia" w:ascii="宋体" w:hAnsi="宋体" w:cs="宋体"/>
          <w:color w:val="auto"/>
          <w:sz w:val="28"/>
          <w:szCs w:val="28"/>
          <w:highlight w:val="none"/>
        </w:rPr>
        <w:t>1、符合条件的供应商或者对磋商文件作实质响应的供应商不足3家的；</w:t>
      </w:r>
    </w:p>
    <w:p>
      <w:pPr>
        <w:snapToGrid w:val="0"/>
        <w:spacing w:line="500" w:lineRule="exact"/>
        <w:ind w:firstLine="555"/>
        <w:rPr>
          <w:rFonts w:ascii="宋体" w:hAnsi="宋体" w:cs="宋体"/>
          <w:color w:val="auto"/>
          <w:sz w:val="28"/>
          <w:szCs w:val="28"/>
          <w:highlight w:val="none"/>
        </w:rPr>
      </w:pPr>
      <w:r>
        <w:rPr>
          <w:rFonts w:hint="eastAsia" w:ascii="宋体" w:hAnsi="宋体" w:cs="宋体"/>
          <w:color w:val="auto"/>
          <w:sz w:val="28"/>
          <w:szCs w:val="28"/>
          <w:highlight w:val="none"/>
        </w:rPr>
        <w:t>2、出现影响采购公正的违法违规行为的；</w:t>
      </w:r>
    </w:p>
    <w:p>
      <w:pPr>
        <w:snapToGrid w:val="0"/>
        <w:spacing w:line="500" w:lineRule="exact"/>
        <w:ind w:firstLine="555"/>
        <w:rPr>
          <w:rFonts w:ascii="宋体" w:hAnsi="宋体" w:cs="宋体"/>
          <w:color w:val="auto"/>
          <w:sz w:val="28"/>
          <w:szCs w:val="28"/>
          <w:highlight w:val="none"/>
        </w:rPr>
      </w:pPr>
      <w:r>
        <w:rPr>
          <w:rFonts w:hint="eastAsia" w:ascii="宋体" w:hAnsi="宋体" w:cs="宋体"/>
          <w:color w:val="auto"/>
          <w:sz w:val="28"/>
          <w:szCs w:val="28"/>
          <w:highlight w:val="none"/>
        </w:rPr>
        <w:t>3、供应商的最后报价均超过了采购预算，采购人不能支付的；</w:t>
      </w:r>
    </w:p>
    <w:p>
      <w:pPr>
        <w:snapToGrid w:val="0"/>
        <w:spacing w:line="500" w:lineRule="exact"/>
        <w:ind w:firstLine="555"/>
        <w:rPr>
          <w:rFonts w:ascii="宋体" w:hAnsi="宋体" w:cs="宋体"/>
          <w:color w:val="auto"/>
          <w:sz w:val="28"/>
          <w:szCs w:val="28"/>
          <w:highlight w:val="none"/>
        </w:rPr>
      </w:pPr>
      <w:r>
        <w:rPr>
          <w:rFonts w:hint="eastAsia" w:ascii="宋体" w:hAnsi="宋体" w:cs="宋体"/>
          <w:color w:val="auto"/>
          <w:sz w:val="28"/>
          <w:szCs w:val="28"/>
          <w:highlight w:val="none"/>
        </w:rPr>
        <w:t>4、因重大变故，采购任务取消的。</w:t>
      </w:r>
    </w:p>
    <w:p>
      <w:pPr>
        <w:snapToGrid w:val="0"/>
        <w:spacing w:line="500" w:lineRule="exact"/>
        <w:ind w:firstLine="555"/>
        <w:rPr>
          <w:rFonts w:ascii="宋体" w:hAnsi="宋体" w:cs="宋体"/>
          <w:color w:val="auto"/>
          <w:sz w:val="28"/>
          <w:szCs w:val="28"/>
          <w:highlight w:val="none"/>
        </w:rPr>
      </w:pPr>
      <w:r>
        <w:rPr>
          <w:rFonts w:hint="eastAsia" w:ascii="宋体" w:hAnsi="宋体" w:cs="宋体"/>
          <w:color w:val="auto"/>
          <w:sz w:val="28"/>
          <w:szCs w:val="28"/>
          <w:highlight w:val="none"/>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w:t>
      </w:r>
    </w:p>
    <w:p>
      <w:pPr>
        <w:pStyle w:val="39"/>
        <w:snapToGrid w:val="0"/>
        <w:spacing w:line="500" w:lineRule="exact"/>
        <w:ind w:firstLine="579"/>
        <w:contextualSpacing/>
        <w:rPr>
          <w:rFonts w:ascii="宋体" w:eastAsia="宋体" w:cs="宋体"/>
          <w:b/>
          <w:color w:val="auto"/>
          <w:sz w:val="28"/>
          <w:highlight w:val="none"/>
        </w:rPr>
      </w:pPr>
      <w:r>
        <w:rPr>
          <w:rFonts w:hint="eastAsia" w:ascii="宋体" w:eastAsia="宋体" w:cs="宋体"/>
          <w:b/>
          <w:color w:val="auto"/>
          <w:sz w:val="28"/>
          <w:highlight w:val="none"/>
        </w:rPr>
        <w:t>五、评审标准</w:t>
      </w:r>
    </w:p>
    <w:p>
      <w:pPr>
        <w:snapToGrid w:val="0"/>
        <w:spacing w:line="500" w:lineRule="exact"/>
        <w:ind w:firstLine="555"/>
        <w:rPr>
          <w:rFonts w:ascii="宋体" w:hAnsi="宋体" w:cs="宋体"/>
          <w:color w:val="auto"/>
          <w:sz w:val="28"/>
          <w:szCs w:val="28"/>
          <w:highlight w:val="none"/>
        </w:rPr>
      </w:pPr>
      <w:r>
        <w:rPr>
          <w:rFonts w:hint="eastAsia" w:ascii="宋体" w:hAnsi="宋体" w:cs="宋体"/>
          <w:color w:val="auto"/>
          <w:sz w:val="28"/>
          <w:szCs w:val="28"/>
          <w:highlight w:val="none"/>
        </w:rPr>
        <w:t>商务技术部分评审结束后，再开启最后报价计算分值。满分为100分。</w:t>
      </w:r>
    </w:p>
    <w:p>
      <w:pPr>
        <w:snapToGrid w:val="0"/>
        <w:spacing w:line="500" w:lineRule="exact"/>
        <w:ind w:left="568"/>
        <w:rPr>
          <w:rFonts w:ascii="宋体" w:hAnsi="宋体" w:cs="宋体"/>
          <w:color w:val="auto"/>
          <w:sz w:val="28"/>
          <w:szCs w:val="28"/>
          <w:highlight w:val="none"/>
          <w:lang w:val="zh-CN"/>
        </w:rPr>
      </w:pPr>
      <w:r>
        <w:rPr>
          <w:rFonts w:hint="eastAsia" w:ascii="宋体" w:hAnsi="宋体" w:cs="宋体"/>
          <w:b/>
          <w:color w:val="auto"/>
          <w:sz w:val="28"/>
          <w:szCs w:val="28"/>
          <w:highlight w:val="none"/>
        </w:rPr>
        <w:t>（一）</w:t>
      </w:r>
      <w:r>
        <w:rPr>
          <w:rFonts w:hint="eastAsia" w:ascii="宋体" w:hAnsi="宋体" w:cs="宋体"/>
          <w:b/>
          <w:color w:val="auto"/>
          <w:sz w:val="28"/>
          <w:szCs w:val="28"/>
          <w:highlight w:val="none"/>
          <w:lang w:val="zh-CN"/>
        </w:rPr>
        <w:t>商务技术分</w:t>
      </w:r>
      <w:r>
        <w:rPr>
          <w:rFonts w:hint="eastAsia" w:ascii="宋体" w:hAnsi="宋体" w:cs="宋体"/>
          <w:color w:val="auto"/>
          <w:sz w:val="28"/>
          <w:szCs w:val="28"/>
          <w:highlight w:val="none"/>
          <w:lang w:val="zh-CN"/>
        </w:rPr>
        <w:t>：</w:t>
      </w:r>
      <w:r>
        <w:rPr>
          <w:rFonts w:hint="eastAsia" w:ascii="宋体" w:hAnsi="宋体" w:cs="宋体"/>
          <w:color w:val="auto"/>
          <w:sz w:val="28"/>
          <w:szCs w:val="28"/>
          <w:highlight w:val="none"/>
        </w:rPr>
        <w:t>80</w:t>
      </w:r>
      <w:r>
        <w:rPr>
          <w:rFonts w:hint="eastAsia" w:ascii="宋体" w:hAnsi="宋体" w:cs="宋体"/>
          <w:color w:val="auto"/>
          <w:sz w:val="28"/>
          <w:szCs w:val="28"/>
          <w:highlight w:val="none"/>
          <w:lang w:val="zh-CN"/>
        </w:rPr>
        <w:t>分</w:t>
      </w:r>
    </w:p>
    <w:p>
      <w:pPr>
        <w:snapToGrid w:val="0"/>
        <w:spacing w:line="500" w:lineRule="exact"/>
        <w:ind w:firstLine="700" w:firstLineChars="250"/>
        <w:contextualSpacing/>
        <w:jc w:val="left"/>
        <w:rPr>
          <w:rFonts w:ascii="宋体" w:hAnsi="宋体" w:cs="宋体"/>
          <w:color w:val="auto"/>
          <w:sz w:val="28"/>
          <w:szCs w:val="28"/>
          <w:highlight w:val="none"/>
        </w:rPr>
      </w:pPr>
      <w:r>
        <w:rPr>
          <w:rFonts w:hint="eastAsia" w:ascii="宋体" w:hAnsi="宋体" w:cs="宋体"/>
          <w:color w:val="auto"/>
          <w:sz w:val="28"/>
          <w:szCs w:val="28"/>
          <w:highlight w:val="none"/>
        </w:rPr>
        <w:t>供应商得分为磋商小组成员打分的平均值。以下所设分值均为各条评分最大得分值，由评委根据各条评分内容在设分值区间内酌情打分。</w:t>
      </w:r>
    </w:p>
    <w:p>
      <w:pPr>
        <w:pStyle w:val="2"/>
        <w:rPr>
          <w:color w:val="auto"/>
          <w:highlight w:val="non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488"/>
        <w:gridCol w:w="5918"/>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2" w:type="dxa"/>
            <w:vMerge w:val="restart"/>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7406" w:type="dxa"/>
            <w:gridSpan w:val="2"/>
            <w:vMerge w:val="restart"/>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技术要求及评分</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792" w:type="dxa"/>
            <w:vMerge w:val="continue"/>
            <w:tcBorders>
              <w:top w:val="single" w:color="auto" w:sz="4" w:space="0"/>
              <w:left w:val="single" w:color="auto" w:sz="4" w:space="0"/>
              <w:bottom w:val="single" w:color="auto" w:sz="4" w:space="0"/>
              <w:right w:val="single" w:color="auto" w:sz="4" w:space="0"/>
            </w:tcBorders>
            <w:shd w:val="clear" w:color="auto" w:fill="D7D7D7"/>
            <w:vAlign w:val="center"/>
          </w:tcPr>
          <w:p>
            <w:pPr>
              <w:widowControl/>
              <w:rPr>
                <w:rFonts w:ascii="宋体" w:hAnsi="宋体" w:cs="宋体"/>
                <w:b/>
                <w:bCs/>
                <w:color w:val="auto"/>
                <w:kern w:val="0"/>
                <w:sz w:val="24"/>
                <w:highlight w:val="none"/>
              </w:rPr>
            </w:pPr>
          </w:p>
        </w:tc>
        <w:tc>
          <w:tcPr>
            <w:tcW w:w="7406" w:type="dxa"/>
            <w:gridSpan w:val="2"/>
            <w:vMerge w:val="continue"/>
            <w:tcBorders>
              <w:top w:val="single" w:color="auto" w:sz="4" w:space="0"/>
              <w:left w:val="single" w:color="auto" w:sz="4" w:space="0"/>
              <w:bottom w:val="single" w:color="auto" w:sz="4" w:space="0"/>
              <w:right w:val="single" w:color="auto" w:sz="4" w:space="0"/>
            </w:tcBorders>
            <w:shd w:val="clear" w:color="auto" w:fill="D7D7D7"/>
            <w:vAlign w:val="center"/>
          </w:tcPr>
          <w:p>
            <w:pPr>
              <w:widowControl/>
              <w:rPr>
                <w:rFonts w:ascii="宋体" w:hAnsi="宋体" w:cs="宋体"/>
                <w:b/>
                <w:bCs/>
                <w:color w:val="auto"/>
                <w:kern w:val="0"/>
                <w:sz w:val="24"/>
                <w:highlight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D7D7D7"/>
            <w:vAlign w:val="center"/>
          </w:tcPr>
          <w:p>
            <w:pPr>
              <w:widowControl/>
              <w:rPr>
                <w:rFonts w:ascii="宋体" w:hAnsi="宋体" w:cs="宋体"/>
                <w:b/>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exact"/>
          <w:jc w:val="center"/>
        </w:trPr>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4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企业资信</w:t>
            </w:r>
          </w:p>
        </w:tc>
        <w:tc>
          <w:tcPr>
            <w:tcW w:w="59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投标人通过ISO9001质量体系认证得3分；ISO14001环境体系认证得3分；OHSAS18001或</w:t>
            </w:r>
            <w:r>
              <w:rPr>
                <w:rFonts w:ascii="宋体" w:hAnsi="宋体" w:cs="宋体"/>
                <w:color w:val="auto"/>
                <w:kern w:val="0"/>
                <w:sz w:val="24"/>
                <w:highlight w:val="none"/>
              </w:rPr>
              <w:t>ISO45001</w:t>
            </w:r>
            <w:r>
              <w:rPr>
                <w:rFonts w:hint="eastAsia" w:ascii="宋体" w:hAnsi="宋体" w:cs="宋体"/>
                <w:color w:val="auto"/>
                <w:kern w:val="0"/>
                <w:sz w:val="24"/>
                <w:highlight w:val="none"/>
              </w:rPr>
              <w:t>职业健康安全管理体系认证得3分(本项满分9分，提供证书复印件加盖供应商公章，原件备查)。</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exact"/>
          <w:jc w:val="center"/>
        </w:trPr>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4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行业资质</w:t>
            </w:r>
          </w:p>
        </w:tc>
        <w:tc>
          <w:tcPr>
            <w:tcW w:w="59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具有中国集中空调系统清洗维保服务国家一级资质的得3分，二级得2分（提供复印件并加盖供应商公章，原件备查）。</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3" w:hRule="exact"/>
          <w:jc w:val="center"/>
        </w:trPr>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4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专业力量</w:t>
            </w:r>
          </w:p>
        </w:tc>
        <w:tc>
          <w:tcPr>
            <w:tcW w:w="59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拟投入本项目维护专业人员不得少于3人，且每人必须持有至少一个制冷空调安装及维修操作证书或一个焊工证或一个电工证（注：整个团队须持有以上三证，不满足条件的做无效标处理）。在此基础上，每增加1名专业人员得4分，最多得8分。</w:t>
            </w:r>
          </w:p>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（提供专业人员的证书复印件，和本单位签订劳动合同复印件，本单位为其缴纳的2021年10月-2022年3月社保证明资料，原件备查，否则不得分）。</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exact"/>
          <w:jc w:val="center"/>
        </w:trPr>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4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主要配件报价</w:t>
            </w:r>
          </w:p>
        </w:tc>
        <w:tc>
          <w:tcPr>
            <w:tcW w:w="59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评委对投标供应商《主要配件报价》协作优惠程度进行横向对比打分，折扣率最低的得10分，次低的得8分，第三低的得6分，依此类推。</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4" w:hRule="exact"/>
          <w:jc w:val="center"/>
        </w:trPr>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4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类似业绩</w:t>
            </w:r>
          </w:p>
        </w:tc>
        <w:tc>
          <w:tcPr>
            <w:tcW w:w="59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提供2018年6月1日以来类似本项目业绩</w:t>
            </w:r>
          </w:p>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1.供应商有美的空调、机组维护服务业绩，每提供一份得5分，最多得20分。</w:t>
            </w:r>
          </w:p>
          <w:p>
            <w:pPr>
              <w:pStyle w:val="2"/>
              <w:rPr>
                <w:rFonts w:ascii="宋体" w:hAnsi="宋体" w:eastAsia="宋体" w:cs="宋体"/>
                <w:color w:val="auto"/>
                <w:kern w:val="0"/>
                <w:szCs w:val="24"/>
                <w:highlight w:val="none"/>
              </w:rPr>
            </w:pPr>
            <w:r>
              <w:rPr>
                <w:rFonts w:hint="eastAsia" w:ascii="宋体" w:hAnsi="宋体" w:eastAsia="宋体" w:cs="宋体"/>
                <w:color w:val="auto"/>
                <w:kern w:val="0"/>
                <w:szCs w:val="24"/>
                <w:highlight w:val="none"/>
              </w:rPr>
              <w:t>2.供应商有其他空调、机组维护服务业绩，每提供一份得3分，最多得9分。</w:t>
            </w:r>
          </w:p>
          <w:p>
            <w:pPr>
              <w:pStyle w:val="2"/>
              <w:rPr>
                <w:rFonts w:ascii="宋体" w:hAnsi="宋体" w:eastAsia="宋体" w:cs="宋体"/>
                <w:color w:val="auto"/>
                <w:kern w:val="0"/>
                <w:szCs w:val="24"/>
                <w:highlight w:val="none"/>
              </w:rPr>
            </w:pPr>
            <w:r>
              <w:rPr>
                <w:rFonts w:hint="eastAsia" w:ascii="宋体" w:hAnsi="宋体" w:eastAsia="宋体" w:cs="宋体"/>
                <w:color w:val="auto"/>
                <w:kern w:val="0"/>
                <w:szCs w:val="24"/>
                <w:highlight w:val="none"/>
              </w:rPr>
              <w:t>注：每一份业绩需同时提供有效合同复印件、对应合同全额发票扫描件、业主单位满意度证明（含联系人和联系电话）原件，否则不得分。（合同、发票原件带至现场备查）</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exact"/>
          <w:jc w:val="center"/>
        </w:trPr>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14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维保服务方案</w:t>
            </w:r>
          </w:p>
        </w:tc>
        <w:tc>
          <w:tcPr>
            <w:tcW w:w="59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针对本项目的维保方案详实、完备，可操作性强，评委酌情打分，优秀得23分-30分；良好得15分-22分；一般得6分-14分；差得0分。</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30</w:t>
            </w:r>
          </w:p>
        </w:tc>
      </w:tr>
    </w:tbl>
    <w:p>
      <w:pPr>
        <w:autoSpaceDE w:val="0"/>
        <w:autoSpaceDN w:val="0"/>
        <w:adjustRightInd w:val="0"/>
        <w:snapToGrid w:val="0"/>
        <w:spacing w:line="500" w:lineRule="exact"/>
        <w:ind w:firstLine="560"/>
        <w:rPr>
          <w:rFonts w:ascii="宋体" w:hAnsi="宋体" w:cs="宋体"/>
          <w:b/>
          <w:color w:val="auto"/>
          <w:sz w:val="28"/>
          <w:szCs w:val="28"/>
          <w:highlight w:val="none"/>
        </w:rPr>
      </w:pPr>
      <w:r>
        <w:rPr>
          <w:rFonts w:hint="eastAsia" w:ascii="宋体" w:hAnsi="宋体" w:cs="宋体"/>
          <w:b/>
          <w:color w:val="auto"/>
          <w:sz w:val="28"/>
          <w:szCs w:val="28"/>
          <w:highlight w:val="none"/>
        </w:rPr>
        <w:t>(二）价格分：20分</w:t>
      </w:r>
    </w:p>
    <w:p>
      <w:pPr>
        <w:autoSpaceDE w:val="0"/>
        <w:autoSpaceDN w:val="0"/>
        <w:adjustRightInd w:val="0"/>
        <w:snapToGrid w:val="0"/>
        <w:spacing w:line="500" w:lineRule="exact"/>
        <w:ind w:firstLine="560"/>
        <w:rPr>
          <w:rFonts w:ascii="宋体" w:hAnsi="宋体" w:cs="宋体"/>
          <w:color w:val="auto"/>
          <w:sz w:val="28"/>
          <w:szCs w:val="28"/>
          <w:highlight w:val="none"/>
        </w:rPr>
      </w:pPr>
      <w:r>
        <w:rPr>
          <w:rFonts w:hint="eastAsia" w:ascii="宋体" w:hAnsi="宋体" w:cs="宋体"/>
          <w:color w:val="auto"/>
          <w:sz w:val="28"/>
          <w:szCs w:val="28"/>
          <w:highlight w:val="none"/>
        </w:rPr>
        <w:t>综合评分法中的价格分统一采用低价优先法计算，即满足磋商文件要求且最后报价最低的供应商的价格为磋商基准价，其价格分为满分。其他供应商的价格分统一按照下列公式计算：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napToGrid w:val="0"/>
        <w:spacing w:line="500" w:lineRule="exact"/>
        <w:ind w:firstLine="560"/>
        <w:rPr>
          <w:rFonts w:ascii="宋体" w:hAnsi="宋体" w:cs="宋体"/>
          <w:color w:val="auto"/>
          <w:sz w:val="28"/>
          <w:szCs w:val="28"/>
          <w:highlight w:val="none"/>
        </w:rPr>
      </w:pPr>
      <w:r>
        <w:rPr>
          <w:rFonts w:hint="eastAsia" w:ascii="宋体" w:hAnsi="宋体" w:cs="宋体"/>
          <w:color w:val="auto"/>
          <w:sz w:val="28"/>
          <w:szCs w:val="28"/>
          <w:highlight w:val="none"/>
        </w:rPr>
        <w:t>磋商报价得分=（磋商基准价/最后磋商报价）×价格权值×100%</w:t>
      </w:r>
    </w:p>
    <w:p>
      <w:pPr>
        <w:autoSpaceDE w:val="0"/>
        <w:autoSpaceDN w:val="0"/>
        <w:adjustRightInd w:val="0"/>
        <w:snapToGrid w:val="0"/>
        <w:spacing w:line="500" w:lineRule="exact"/>
        <w:ind w:firstLine="560"/>
        <w:rPr>
          <w:rFonts w:ascii="宋体" w:hAnsi="宋体" w:cs="宋体"/>
          <w:color w:val="auto"/>
          <w:sz w:val="28"/>
          <w:szCs w:val="28"/>
          <w:highlight w:val="none"/>
        </w:rPr>
      </w:pPr>
      <w:r>
        <w:rPr>
          <w:rFonts w:hint="eastAsia" w:ascii="宋体" w:hAnsi="宋体" w:cs="宋体"/>
          <w:color w:val="auto"/>
          <w:sz w:val="28"/>
          <w:szCs w:val="28"/>
          <w:highlight w:val="none"/>
        </w:rPr>
        <w:t>项目评审过程中，不得去掉最后报价中的最高报价和最低报价。</w:t>
      </w:r>
    </w:p>
    <w:p>
      <w:pPr>
        <w:snapToGrid w:val="0"/>
        <w:spacing w:line="50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磋商小组认为供应商的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磋商处理。</w:t>
      </w:r>
    </w:p>
    <w:p>
      <w:pPr>
        <w:snapToGrid w:val="0"/>
        <w:spacing w:line="500" w:lineRule="exact"/>
        <w:ind w:firstLine="555"/>
        <w:rPr>
          <w:rFonts w:ascii="宋体" w:hAnsi="宋体" w:cs="宋体"/>
          <w:b/>
          <w:color w:val="auto"/>
          <w:sz w:val="28"/>
          <w:szCs w:val="28"/>
          <w:highlight w:val="none"/>
        </w:rPr>
      </w:pPr>
      <w:r>
        <w:rPr>
          <w:rFonts w:hint="eastAsia" w:ascii="宋体" w:hAnsi="宋体" w:cs="宋体"/>
          <w:b/>
          <w:color w:val="auto"/>
          <w:sz w:val="28"/>
          <w:szCs w:val="28"/>
          <w:highlight w:val="none"/>
        </w:rPr>
        <w:t>六</w:t>
      </w:r>
      <w:r>
        <w:rPr>
          <w:rFonts w:hint="eastAsia" w:ascii="宋体" w:hAnsi="宋体" w:cs="宋体"/>
          <w:color w:val="auto"/>
          <w:sz w:val="28"/>
          <w:szCs w:val="28"/>
          <w:highlight w:val="none"/>
        </w:rPr>
        <w:t>、</w:t>
      </w:r>
      <w:r>
        <w:rPr>
          <w:rFonts w:hint="eastAsia" w:ascii="宋体" w:hAnsi="宋体" w:cs="宋体"/>
          <w:b/>
          <w:color w:val="auto"/>
          <w:sz w:val="28"/>
          <w:szCs w:val="28"/>
          <w:highlight w:val="none"/>
        </w:rPr>
        <w:t>变更为其他方式采购的情形</w:t>
      </w:r>
    </w:p>
    <w:p>
      <w:pPr>
        <w:autoSpaceDE w:val="0"/>
        <w:autoSpaceDN w:val="0"/>
        <w:adjustRightInd w:val="0"/>
        <w:snapToGrid w:val="0"/>
        <w:spacing w:line="500" w:lineRule="exact"/>
        <w:ind w:firstLine="560"/>
        <w:rPr>
          <w:rFonts w:ascii="宋体" w:hAnsi="宋体" w:cs="宋体"/>
          <w:color w:val="auto"/>
          <w:sz w:val="28"/>
          <w:szCs w:val="28"/>
          <w:highlight w:val="none"/>
        </w:rPr>
      </w:pPr>
      <w:r>
        <w:rPr>
          <w:rFonts w:hint="eastAsia" w:ascii="宋体" w:hAnsi="宋体" w:cs="宋体"/>
          <w:color w:val="auto"/>
          <w:sz w:val="28"/>
          <w:szCs w:val="28"/>
          <w:highlight w:val="none"/>
        </w:rPr>
        <w:t>提交响应文件截止时间时参加磋商的供应商不足3家的，及磋商中出现符合专业条件的供应商或对磋商文件作实质响应的供应商不足3家，除采购任务取消外，采购人报告市财政局，视情采取其他方式采购。</w:t>
      </w:r>
      <w:r>
        <w:rPr>
          <w:rFonts w:hint="eastAsia" w:ascii="宋体" w:hAnsi="宋体" w:cs="宋体"/>
          <w:color w:val="auto"/>
          <w:sz w:val="28"/>
          <w:szCs w:val="28"/>
          <w:highlight w:val="none"/>
          <w:lang w:val="zh-CN"/>
        </w:rPr>
        <w:t>磋商文件中对供应商资质、服务等要求，将作为</w:t>
      </w:r>
      <w:r>
        <w:rPr>
          <w:rFonts w:hint="eastAsia" w:ascii="宋体" w:hAnsi="宋体" w:cs="宋体"/>
          <w:color w:val="auto"/>
          <w:sz w:val="28"/>
          <w:szCs w:val="28"/>
          <w:highlight w:val="none"/>
        </w:rPr>
        <w:t>其他</w:t>
      </w:r>
      <w:r>
        <w:rPr>
          <w:rFonts w:hint="eastAsia" w:ascii="宋体" w:hAnsi="宋体" w:cs="宋体"/>
          <w:color w:val="auto"/>
          <w:sz w:val="28"/>
          <w:szCs w:val="28"/>
          <w:highlight w:val="none"/>
          <w:lang w:val="zh-CN"/>
        </w:rPr>
        <w:t>方式采购的基本要求和依据。原已经参加磋商并符合要求的供应商，根据自愿原则，参加</w:t>
      </w:r>
      <w:r>
        <w:rPr>
          <w:rFonts w:hint="eastAsia" w:ascii="宋体" w:hAnsi="宋体" w:cs="宋体"/>
          <w:color w:val="auto"/>
          <w:sz w:val="28"/>
          <w:szCs w:val="28"/>
          <w:highlight w:val="none"/>
        </w:rPr>
        <w:t>其他</w:t>
      </w:r>
      <w:r>
        <w:rPr>
          <w:rFonts w:hint="eastAsia" w:ascii="宋体" w:hAnsi="宋体" w:cs="宋体"/>
          <w:color w:val="auto"/>
          <w:sz w:val="28"/>
          <w:szCs w:val="28"/>
          <w:highlight w:val="none"/>
          <w:lang w:val="zh-CN"/>
        </w:rPr>
        <w:t>方式采购。</w:t>
      </w:r>
    </w:p>
    <w:p>
      <w:pPr>
        <w:pStyle w:val="39"/>
        <w:snapToGrid w:val="0"/>
        <w:spacing w:line="500" w:lineRule="exact"/>
        <w:ind w:firstLine="579"/>
        <w:contextualSpacing/>
        <w:rPr>
          <w:rFonts w:ascii="宋体" w:eastAsia="宋体" w:cs="宋体"/>
          <w:color w:val="auto"/>
          <w:sz w:val="28"/>
          <w:highlight w:val="none"/>
        </w:rPr>
      </w:pPr>
      <w:r>
        <w:rPr>
          <w:rFonts w:hint="eastAsia" w:ascii="宋体" w:eastAsia="宋体" w:cs="宋体"/>
          <w:b/>
          <w:color w:val="auto"/>
          <w:sz w:val="28"/>
          <w:highlight w:val="none"/>
        </w:rPr>
        <w:t>七、</w:t>
      </w:r>
      <w:r>
        <w:rPr>
          <w:rFonts w:hint="eastAsia" w:ascii="宋体" w:eastAsia="宋体" w:cs="宋体"/>
          <w:color w:val="auto"/>
          <w:sz w:val="28"/>
          <w:highlight w:val="none"/>
        </w:rPr>
        <w:t>出现下列情形之一的，竞争性磋商采购活动终止，发布项目终止公告并说明原因，重新开展采购活动：</w:t>
      </w:r>
    </w:p>
    <w:p>
      <w:pPr>
        <w:pStyle w:val="39"/>
        <w:snapToGrid w:val="0"/>
        <w:spacing w:line="500" w:lineRule="exact"/>
        <w:ind w:firstLine="577"/>
        <w:contextualSpacing/>
        <w:rPr>
          <w:rFonts w:ascii="宋体" w:eastAsia="宋体" w:cs="宋体"/>
          <w:color w:val="auto"/>
          <w:sz w:val="28"/>
          <w:highlight w:val="none"/>
        </w:rPr>
      </w:pPr>
      <w:r>
        <w:rPr>
          <w:rFonts w:hint="eastAsia" w:ascii="宋体" w:eastAsia="宋体" w:cs="宋体"/>
          <w:color w:val="auto"/>
          <w:sz w:val="28"/>
          <w:highlight w:val="none"/>
        </w:rPr>
        <w:t>（一）因情况变化，不再符合规定的竞争性磋商采购方式适用情形的；</w:t>
      </w:r>
    </w:p>
    <w:p>
      <w:pPr>
        <w:pStyle w:val="39"/>
        <w:snapToGrid w:val="0"/>
        <w:spacing w:line="500" w:lineRule="exact"/>
        <w:ind w:firstLine="577"/>
        <w:contextualSpacing/>
        <w:rPr>
          <w:rFonts w:ascii="宋体" w:eastAsia="宋体" w:cs="宋体"/>
          <w:color w:val="auto"/>
          <w:sz w:val="28"/>
          <w:highlight w:val="none"/>
        </w:rPr>
      </w:pPr>
      <w:r>
        <w:rPr>
          <w:rFonts w:hint="eastAsia" w:ascii="宋体" w:eastAsia="宋体" w:cs="宋体"/>
          <w:color w:val="auto"/>
          <w:sz w:val="28"/>
          <w:highlight w:val="none"/>
        </w:rPr>
        <w:t>（二）出现影响采购公正的违法、违规行为的；</w:t>
      </w:r>
    </w:p>
    <w:p>
      <w:pPr>
        <w:pStyle w:val="39"/>
        <w:snapToGrid w:val="0"/>
        <w:spacing w:line="500" w:lineRule="exact"/>
        <w:ind w:firstLine="560" w:firstLineChars="200"/>
        <w:contextualSpacing/>
        <w:rPr>
          <w:rFonts w:ascii="宋体" w:eastAsia="宋体" w:cs="宋体"/>
          <w:color w:val="auto"/>
          <w:sz w:val="28"/>
          <w:highlight w:val="none"/>
        </w:rPr>
      </w:pPr>
      <w:r>
        <w:rPr>
          <w:rFonts w:hint="eastAsia" w:ascii="宋体" w:eastAsia="宋体" w:cs="宋体"/>
          <w:color w:val="auto"/>
          <w:sz w:val="28"/>
          <w:highlight w:val="none"/>
        </w:rPr>
        <w:t>（三）在采购过程中符合要求的供应商或者报价未超过采购预算的供应商不足3家的。</w:t>
      </w:r>
    </w:p>
    <w:p>
      <w:pPr>
        <w:autoSpaceDE w:val="0"/>
        <w:autoSpaceDN w:val="0"/>
        <w:adjustRightInd w:val="0"/>
        <w:snapToGrid w:val="0"/>
        <w:spacing w:line="500" w:lineRule="exact"/>
        <w:ind w:right="210" w:firstLine="562" w:firstLineChars="200"/>
        <w:rPr>
          <w:rFonts w:ascii="宋体" w:hAnsi="宋体" w:cs="宋体"/>
          <w:b/>
          <w:color w:val="auto"/>
          <w:sz w:val="28"/>
          <w:szCs w:val="28"/>
          <w:highlight w:val="none"/>
          <w:lang w:val="zh-CN"/>
        </w:rPr>
      </w:pPr>
      <w:r>
        <w:rPr>
          <w:rFonts w:hint="eastAsia" w:ascii="宋体" w:hAnsi="宋体" w:cs="宋体"/>
          <w:b/>
          <w:color w:val="auto"/>
          <w:sz w:val="28"/>
          <w:szCs w:val="28"/>
          <w:highlight w:val="none"/>
          <w:lang w:val="zh-CN"/>
        </w:rPr>
        <w:t>八、成交通知</w:t>
      </w:r>
    </w:p>
    <w:p>
      <w:pPr>
        <w:snapToGrid w:val="0"/>
        <w:spacing w:line="500" w:lineRule="exact"/>
        <w:ind w:firstLine="570"/>
        <w:rPr>
          <w:rFonts w:ascii="宋体" w:hAnsi="宋体" w:cs="宋体"/>
          <w:color w:val="auto"/>
          <w:sz w:val="28"/>
          <w:szCs w:val="28"/>
          <w:highlight w:val="none"/>
        </w:rPr>
      </w:pPr>
      <w:r>
        <w:rPr>
          <w:rFonts w:hint="eastAsia" w:ascii="宋体" w:hAnsi="宋体" w:cs="宋体"/>
          <w:color w:val="auto"/>
          <w:sz w:val="28"/>
          <w:szCs w:val="28"/>
          <w:highlight w:val="none"/>
        </w:rPr>
        <w:t>成交结果在“南通市教育局网”和“南通市第二中学网”发布，公告期限为1个工作日。《成交通知书》一经发出，采购人改变成交结果，或者成交供应商放弃成交的，各自承担相应的法律责任。《成交通知书》是采购合同的组成部分。</w:t>
      </w:r>
    </w:p>
    <w:p>
      <w:pPr>
        <w:snapToGrid w:val="0"/>
        <w:spacing w:line="500" w:lineRule="exact"/>
        <w:outlineLvl w:val="0"/>
        <w:rPr>
          <w:rFonts w:ascii="宋体" w:hAnsi="宋体" w:cs="宋体"/>
          <w:b/>
          <w:color w:val="auto"/>
          <w:sz w:val="36"/>
          <w:szCs w:val="36"/>
          <w:highlight w:val="none"/>
        </w:rPr>
        <w:sectPr>
          <w:pgSz w:w="11907" w:h="16839"/>
          <w:pgMar w:top="1440" w:right="726" w:bottom="873" w:left="1236" w:header="720" w:footer="720" w:gutter="0"/>
          <w:cols w:space="720" w:num="1"/>
          <w:docGrid w:linePitch="286" w:charSpace="0"/>
        </w:sectPr>
      </w:pPr>
    </w:p>
    <w:p>
      <w:pPr>
        <w:numPr>
          <w:ilvl w:val="0"/>
          <w:numId w:val="3"/>
        </w:numPr>
        <w:snapToGrid w:val="0"/>
        <w:spacing w:line="30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合同签订与验收付款</w:t>
      </w:r>
    </w:p>
    <w:p>
      <w:pPr>
        <w:pStyle w:val="9"/>
        <w:rPr>
          <w:rFonts w:ascii="宋体" w:hAnsi="宋体" w:cs="宋体"/>
          <w:color w:val="auto"/>
          <w:highlight w:val="none"/>
        </w:rPr>
      </w:pPr>
    </w:p>
    <w:p>
      <w:pPr>
        <w:spacing w:line="500" w:lineRule="exact"/>
        <w:ind w:firstLine="565" w:firstLineChars="202"/>
        <w:rPr>
          <w:rFonts w:ascii="宋体" w:hAnsi="宋体" w:cs="宋体"/>
          <w:color w:val="auto"/>
          <w:sz w:val="28"/>
          <w:szCs w:val="28"/>
          <w:highlight w:val="none"/>
        </w:rPr>
      </w:pPr>
      <w:r>
        <w:rPr>
          <w:rFonts w:hint="eastAsia" w:ascii="宋体" w:hAnsi="宋体" w:cs="宋体"/>
          <w:color w:val="auto"/>
          <w:sz w:val="28"/>
          <w:szCs w:val="28"/>
          <w:highlight w:val="none"/>
        </w:rPr>
        <w:t>一、成交人在接到代理机构发出送达的《成交通知书》后15日内与采购人签订服务合同（一式陆份，采购人、成交人、采购代理机构各执两份），所签合同不得对采购文件作实质性修改，否则磋商保证金将不予退还，由此给采购人造成损失的，成交人还应承担赔偿责任。采购人不得向成交人提出不合理的要求作为签订合同的条件，不得与成交人私下订立背离磋商文件实质性内容的协议。</w:t>
      </w:r>
    </w:p>
    <w:p>
      <w:pPr>
        <w:spacing w:line="500" w:lineRule="exact"/>
        <w:ind w:firstLine="565" w:firstLineChars="202"/>
        <w:rPr>
          <w:rFonts w:ascii="宋体" w:hAnsi="宋体" w:cs="宋体"/>
          <w:color w:val="auto"/>
          <w:sz w:val="28"/>
          <w:szCs w:val="28"/>
          <w:highlight w:val="none"/>
        </w:rPr>
      </w:pPr>
      <w:r>
        <w:rPr>
          <w:rFonts w:hint="eastAsia" w:ascii="宋体" w:hAnsi="宋体" w:cs="宋体"/>
          <w:color w:val="auto"/>
          <w:sz w:val="28"/>
          <w:szCs w:val="28"/>
          <w:highlight w:val="none"/>
        </w:rPr>
        <w:t>二、磋商文件、成交人的磋商响应文件及评审过程中有关书面澄清、承诺等均应作为合同附件，具有同等的法律效力。</w:t>
      </w:r>
    </w:p>
    <w:p>
      <w:pPr>
        <w:spacing w:line="500" w:lineRule="exact"/>
        <w:ind w:firstLine="565" w:firstLineChars="202"/>
        <w:rPr>
          <w:rFonts w:ascii="宋体" w:hAnsi="宋体" w:cs="宋体"/>
          <w:color w:val="auto"/>
          <w:sz w:val="28"/>
          <w:szCs w:val="28"/>
          <w:highlight w:val="none"/>
        </w:rPr>
      </w:pPr>
      <w:r>
        <w:rPr>
          <w:rFonts w:hint="eastAsia" w:ascii="宋体" w:hAnsi="宋体" w:cs="宋体"/>
          <w:color w:val="auto"/>
          <w:sz w:val="28"/>
          <w:szCs w:val="28"/>
          <w:highlight w:val="none"/>
        </w:rPr>
        <w:t>三、成交人不得采用转包、分包的形式履行合同，否则，采购人有权终止合同，造成采购人损失的，成交人应承担相应赔偿责任。</w:t>
      </w:r>
    </w:p>
    <w:p>
      <w:pPr>
        <w:spacing w:line="500" w:lineRule="exact"/>
        <w:ind w:firstLine="565" w:firstLineChars="202"/>
        <w:rPr>
          <w:rFonts w:ascii="宋体" w:hAnsi="宋体" w:cs="宋体"/>
          <w:color w:val="auto"/>
          <w:sz w:val="28"/>
          <w:szCs w:val="28"/>
          <w:highlight w:val="none"/>
        </w:rPr>
      </w:pPr>
      <w:r>
        <w:rPr>
          <w:rFonts w:hint="eastAsia" w:ascii="宋体" w:hAnsi="宋体" w:cs="宋体"/>
          <w:color w:val="auto"/>
          <w:sz w:val="28"/>
          <w:szCs w:val="28"/>
          <w:highlight w:val="none"/>
        </w:rPr>
        <w:t>四、采购人和成交人应相互配合，按服务合同约定积极组织本项目的实施，确保专项检查和技术安全服务按时完成。</w:t>
      </w:r>
    </w:p>
    <w:p>
      <w:pPr>
        <w:spacing w:line="500" w:lineRule="exact"/>
        <w:ind w:firstLine="565" w:firstLineChars="202"/>
        <w:rPr>
          <w:rFonts w:ascii="宋体" w:hAnsi="宋体" w:cs="宋体"/>
          <w:color w:val="auto"/>
          <w:sz w:val="28"/>
          <w:szCs w:val="28"/>
          <w:highlight w:val="none"/>
        </w:rPr>
      </w:pPr>
      <w:r>
        <w:rPr>
          <w:rFonts w:hint="eastAsia" w:ascii="宋体" w:hAnsi="宋体" w:cs="宋体"/>
          <w:color w:val="auto"/>
          <w:sz w:val="28"/>
          <w:szCs w:val="28"/>
          <w:highlight w:val="none"/>
        </w:rPr>
        <w:t>五、采购人、成交人不按服务合同规定履约，出现违约情形，应当及时纠正或补偿，造成损失的，按合同约定追究违约责任；履约中发现有商业贿赂等违法情形的，应由采购人移交工商、质监、公安等行政执法部门依法查处。</w:t>
      </w:r>
    </w:p>
    <w:p>
      <w:pPr>
        <w:pStyle w:val="2"/>
        <w:rPr>
          <w:rFonts w:ascii="宋体" w:hAnsi="宋体" w:eastAsia="宋体" w:cs="宋体"/>
          <w:color w:val="auto"/>
          <w:highlight w:val="none"/>
        </w:rPr>
      </w:pPr>
    </w:p>
    <w:p>
      <w:pPr>
        <w:snapToGrid w:val="0"/>
        <w:spacing w:line="300" w:lineRule="auto"/>
        <w:jc w:val="center"/>
        <w:outlineLvl w:val="0"/>
        <w:rPr>
          <w:rFonts w:ascii="宋体" w:hAnsi="宋体" w:cs="宋体"/>
          <w:b/>
          <w:color w:val="auto"/>
          <w:sz w:val="36"/>
          <w:szCs w:val="36"/>
          <w:highlight w:val="none"/>
        </w:rPr>
      </w:pPr>
    </w:p>
    <w:p>
      <w:pPr>
        <w:snapToGrid w:val="0"/>
        <w:spacing w:line="300" w:lineRule="auto"/>
        <w:jc w:val="center"/>
        <w:outlineLvl w:val="0"/>
        <w:rPr>
          <w:rFonts w:ascii="宋体" w:hAnsi="宋体" w:cs="宋体"/>
          <w:b/>
          <w:color w:val="auto"/>
          <w:sz w:val="36"/>
          <w:szCs w:val="36"/>
          <w:highlight w:val="none"/>
        </w:rPr>
      </w:pPr>
    </w:p>
    <w:p>
      <w:pPr>
        <w:snapToGrid w:val="0"/>
        <w:spacing w:line="300" w:lineRule="auto"/>
        <w:jc w:val="center"/>
        <w:outlineLvl w:val="0"/>
        <w:rPr>
          <w:rFonts w:ascii="宋体" w:hAnsi="宋体" w:cs="宋体"/>
          <w:b/>
          <w:color w:val="auto"/>
          <w:sz w:val="36"/>
          <w:szCs w:val="36"/>
          <w:highlight w:val="none"/>
        </w:rPr>
      </w:pPr>
    </w:p>
    <w:p>
      <w:pPr>
        <w:snapToGrid w:val="0"/>
        <w:spacing w:line="300" w:lineRule="auto"/>
        <w:jc w:val="center"/>
        <w:outlineLvl w:val="0"/>
        <w:rPr>
          <w:rFonts w:ascii="宋体" w:hAnsi="宋体" w:cs="宋体"/>
          <w:b/>
          <w:color w:val="auto"/>
          <w:sz w:val="36"/>
          <w:szCs w:val="36"/>
          <w:highlight w:val="none"/>
        </w:rPr>
      </w:pPr>
    </w:p>
    <w:p>
      <w:pPr>
        <w:pStyle w:val="2"/>
        <w:rPr>
          <w:rFonts w:ascii="宋体" w:hAnsi="宋体" w:eastAsia="宋体" w:cs="宋体"/>
          <w:b/>
          <w:color w:val="auto"/>
          <w:sz w:val="36"/>
          <w:szCs w:val="36"/>
          <w:highlight w:val="none"/>
        </w:rPr>
      </w:pPr>
    </w:p>
    <w:p>
      <w:pPr>
        <w:pStyle w:val="2"/>
        <w:rPr>
          <w:rFonts w:ascii="宋体" w:hAnsi="宋体" w:eastAsia="宋体" w:cs="宋体"/>
          <w:b/>
          <w:color w:val="auto"/>
          <w:sz w:val="36"/>
          <w:szCs w:val="36"/>
          <w:highlight w:val="none"/>
        </w:rPr>
      </w:pPr>
    </w:p>
    <w:p>
      <w:pPr>
        <w:pStyle w:val="2"/>
        <w:rPr>
          <w:rFonts w:ascii="宋体" w:hAnsi="宋体" w:eastAsia="宋体" w:cs="宋体"/>
          <w:b/>
          <w:color w:val="auto"/>
          <w:sz w:val="36"/>
          <w:szCs w:val="36"/>
          <w:highlight w:val="none"/>
        </w:rPr>
      </w:pPr>
    </w:p>
    <w:p>
      <w:pPr>
        <w:pStyle w:val="2"/>
        <w:rPr>
          <w:rFonts w:ascii="宋体" w:hAnsi="宋体" w:eastAsia="宋体" w:cs="宋体"/>
          <w:b/>
          <w:color w:val="auto"/>
          <w:sz w:val="36"/>
          <w:szCs w:val="36"/>
          <w:highlight w:val="none"/>
        </w:rPr>
      </w:pPr>
    </w:p>
    <w:p>
      <w:pPr>
        <w:pStyle w:val="2"/>
        <w:rPr>
          <w:rFonts w:ascii="宋体" w:hAnsi="宋体" w:eastAsia="宋体" w:cs="宋体"/>
          <w:b/>
          <w:color w:val="auto"/>
          <w:sz w:val="36"/>
          <w:szCs w:val="36"/>
          <w:highlight w:val="none"/>
        </w:rPr>
      </w:pPr>
    </w:p>
    <w:p>
      <w:pPr>
        <w:snapToGrid w:val="0"/>
        <w:spacing w:line="300" w:lineRule="auto"/>
        <w:jc w:val="center"/>
        <w:outlineLvl w:val="0"/>
        <w:rPr>
          <w:rFonts w:ascii="宋体" w:hAnsi="宋体" w:cs="宋体"/>
          <w:b/>
          <w:color w:val="auto"/>
          <w:sz w:val="36"/>
          <w:szCs w:val="36"/>
          <w:highlight w:val="none"/>
        </w:rPr>
      </w:pPr>
    </w:p>
    <w:p>
      <w:pPr>
        <w:snapToGrid w:val="0"/>
        <w:spacing w:line="30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第六部分  质疑提出和处理</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一、质疑的提出</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(一)质疑人的身份要求      </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1.质疑人必须是直接参加本次招标活动的当事人。</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2.未参加磋商活动的供应商或在磋商活动中自身权益未受到损害的供应商所提出的质疑不予受理。</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(二)质疑提出的格式要求   </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1.质疑必须按《政府采购法》、《政府采购法实施条例》及《江苏省政府采购供应商监督管理暂行办法》的相关规定提交，质疑实行实名制，不得进行虚假、恶意质疑，未按上述要求提交的质疑函，采购人有权不予受理。</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2.质疑函应包括：    </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（1）质疑供应商的名称、地址、邮编、联系人及联系电话；</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（2）具体、明确的质疑事项及明确的请求；</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（3）质疑的事实依据和必要的法律依据；</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（4）提起质疑的日期；</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（5）认为自己合法权益受到损害或可能受到损害的相关证据材料；                            </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将不予受理。质疑人委托代理质疑的，应当向采购人提交授权委托书，并载明委托代理的具体权限和事项。</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3.质疑函需遵循的原则：</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（三）质疑提出的时效要求</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1.供应商认为采购文件、采购过程和采购结果使自己的权益受到损害的，可以在知道或应知其权益受到损害之日起七个工作日内，以书面形式向采购人或代理机构提出质疑。上述应知其权益受到损害之日，是指：                       </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（1）对可以质疑的采购文件提出质疑的，为收到采购文件之日或者采购文件公告期限届满之日（该质疑需在投标文件接受截止时间前）；</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（2）对采购过程提出质疑的，为各采购程序环节结束之日；</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（3）对成交或者成交结果提出质疑的，为成交或者成交结果公告期限届满之日。                 </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供应商认为采购文件使自己的权益受到损害的，可以按照磋商公告第八项要求向采购人提出质疑；供应商认为采购过程和采购结果使自己的权益受到损害的，可以以书面形式向代理机构或采购人提出质疑。</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2.供应商应在法定质疑期一次性提出针对同一采购程序环节的质疑。                         </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二、《质疑函》的受理和答复</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1. 采购人（代理机构）收到质疑函后，将对质疑的形式和内容进行审查，如质疑函内容、格式不符合规定，采购人将告知质疑人进行补正。</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2. 质疑人应当在法定质疑期限内进行补正并重新提交质疑函，拒不补正或者在法定期限内未重新提交质疑函的，为无效质疑，采购人将不予受理。</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3.采购人或采购代理机构答复供应商质疑应当采用书面方式并依法送达，质疑供应商或其委托代理人拒绝签收的视为已经送达。</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三、质疑处理</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1. 质疑成立的处理</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（1）对于内容、格式符合规定的质疑函，采购人在收到磋商供应商的书面质疑后七个工作日内作出书面答复，但答复的内容不得涉及商业秘密。                       </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（2）对采购文件提出的质疑，依法通过澄清或者修改可以继续开展采购活动的，澄清或者修改采购文件后继续开展采购活动；否则应当修改采购文件后重新开展采购活动。</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（3）对采购过程、成交或者成交结果提出的质疑，合格供应商符合法定数量时，可以从合格的成交候选人中另行确定成交、成交供应商的，应当依法另行确定成交供应商；否则应当重新开展采购活动。</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质疑答复导致成交、成交结果改变的，采购人或者采购代理机构应当将有关情况书面报告本级财政部门。</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2.质疑不成立的处理</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若质疑不成立，或者成立未对成交、成交结果构成影响的，继续开展采购活动。                  </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3.虚假质疑的处理          </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 xml:space="preserve">（1）供应商提出书面质疑必须有理、有据，不得恶意质疑或提交虚假质疑。否则，一经查实，采购人有权依据政府采购的有关规定，报请政府采购监管部门对该供应商进行相应的行政处罚。                          </w:t>
      </w:r>
    </w:p>
    <w:p>
      <w:pPr>
        <w:pStyle w:val="10"/>
        <w:snapToGrid w:val="0"/>
        <w:spacing w:line="400" w:lineRule="atLeast"/>
        <w:ind w:left="0" w:leftChars="0" w:firstLine="560" w:firstLineChars="200"/>
        <w:contextualSpacing/>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（2）受理质疑和答复相关咨询联系电话：0513-</w:t>
      </w:r>
      <w:r>
        <w:rPr>
          <w:rFonts w:hint="eastAsia" w:ascii="宋体" w:hAnsi="宋体" w:cs="宋体"/>
          <w:color w:val="auto"/>
          <w:sz w:val="28"/>
          <w:szCs w:val="28"/>
          <w:highlight w:val="none"/>
        </w:rPr>
        <w:t>55887688</w:t>
      </w:r>
      <w:r>
        <w:rPr>
          <w:rFonts w:hint="eastAsia" w:ascii="宋体" w:hAnsi="宋体" w:cs="宋体"/>
          <w:color w:val="auto"/>
          <w:sz w:val="28"/>
          <w:szCs w:val="28"/>
          <w:highlight w:val="none"/>
          <w:lang w:val="zh-CN"/>
        </w:rPr>
        <w:t>。</w:t>
      </w:r>
    </w:p>
    <w:p>
      <w:pPr>
        <w:autoSpaceDE w:val="0"/>
        <w:autoSpaceDN w:val="0"/>
        <w:adjustRightInd w:val="0"/>
        <w:snapToGrid w:val="0"/>
        <w:spacing w:line="30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0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0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00" w:lineRule="auto"/>
        <w:ind w:left="4513" w:right="210" w:hanging="4513"/>
        <w:jc w:val="center"/>
        <w:rPr>
          <w:rFonts w:ascii="宋体" w:hAnsi="宋体" w:cs="宋体"/>
          <w:b/>
          <w:bCs/>
          <w:color w:val="auto"/>
          <w:sz w:val="36"/>
          <w:szCs w:val="36"/>
          <w:highlight w:val="none"/>
          <w:lang w:val="zh-CN"/>
        </w:rPr>
        <w:sectPr>
          <w:pgSz w:w="11907" w:h="16839"/>
          <w:pgMar w:top="1440" w:right="726" w:bottom="873" w:left="1236" w:header="720" w:footer="720" w:gutter="0"/>
          <w:cols w:space="720" w:num="1"/>
          <w:docGrid w:linePitch="286" w:charSpace="0"/>
        </w:sectPr>
      </w:pPr>
    </w:p>
    <w:p>
      <w:pPr>
        <w:autoSpaceDE w:val="0"/>
        <w:autoSpaceDN w:val="0"/>
        <w:adjustRightInd w:val="0"/>
        <w:snapToGrid w:val="0"/>
        <w:spacing w:line="300" w:lineRule="auto"/>
        <w:ind w:left="4513" w:right="210" w:hanging="4513"/>
        <w:jc w:val="center"/>
        <w:rPr>
          <w:rFonts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t>第七部分  响应文件组成</w:t>
      </w:r>
    </w:p>
    <w:p>
      <w:pPr>
        <w:snapToGrid w:val="0"/>
        <w:spacing w:line="300" w:lineRule="auto"/>
        <w:ind w:firstLine="555"/>
        <w:jc w:val="center"/>
        <w:rPr>
          <w:rFonts w:ascii="宋体" w:hAnsi="宋体" w:cs="宋体"/>
          <w:b/>
          <w:color w:val="auto"/>
          <w:sz w:val="28"/>
          <w:szCs w:val="28"/>
          <w:highlight w:val="none"/>
        </w:rPr>
      </w:pPr>
    </w:p>
    <w:p>
      <w:pPr>
        <w:snapToGrid w:val="0"/>
        <w:spacing w:line="300" w:lineRule="auto"/>
        <w:ind w:firstLine="555"/>
        <w:jc w:val="left"/>
        <w:rPr>
          <w:rFonts w:ascii="宋体" w:hAnsi="宋体" w:cs="宋体"/>
          <w:b/>
          <w:color w:val="auto"/>
          <w:sz w:val="28"/>
          <w:szCs w:val="28"/>
          <w:highlight w:val="none"/>
        </w:rPr>
      </w:pPr>
      <w:r>
        <w:rPr>
          <w:rFonts w:hint="eastAsia" w:ascii="宋体" w:hAnsi="宋体" w:cs="宋体"/>
          <w:b/>
          <w:color w:val="auto"/>
          <w:sz w:val="28"/>
          <w:szCs w:val="28"/>
          <w:highlight w:val="none"/>
        </w:rPr>
        <w:t>响应文件由资格审查证明材料、价格响应文件、商务技术响应文件三部分组成。</w:t>
      </w:r>
    </w:p>
    <w:p>
      <w:pPr>
        <w:snapToGrid w:val="0"/>
        <w:spacing w:line="300" w:lineRule="auto"/>
        <w:ind w:left="549"/>
        <w:contextualSpacing/>
        <w:rPr>
          <w:rFonts w:ascii="宋体" w:hAnsi="宋体" w:cs="宋体"/>
          <w:b/>
          <w:color w:val="auto"/>
          <w:sz w:val="28"/>
          <w:szCs w:val="28"/>
          <w:highlight w:val="none"/>
        </w:rPr>
      </w:pPr>
      <w:r>
        <w:rPr>
          <w:rFonts w:hint="eastAsia" w:ascii="宋体" w:hAnsi="宋体" w:cs="宋体"/>
          <w:b/>
          <w:color w:val="auto"/>
          <w:sz w:val="28"/>
          <w:szCs w:val="28"/>
          <w:highlight w:val="none"/>
        </w:rPr>
        <w:t>一、资格审查证明文件（一正两副，</w:t>
      </w:r>
      <w:r>
        <w:rPr>
          <w:rFonts w:hint="eastAsia" w:ascii="宋体" w:hAnsi="宋体" w:cs="宋体"/>
          <w:b/>
          <w:color w:val="auto"/>
          <w:sz w:val="28"/>
          <w:highlight w:val="none"/>
        </w:rPr>
        <w:t>单独密封并牢固装订）</w:t>
      </w:r>
      <w:r>
        <w:rPr>
          <w:rFonts w:hint="eastAsia" w:ascii="宋体" w:hAnsi="宋体" w:cs="宋体"/>
          <w:b/>
          <w:color w:val="auto"/>
          <w:sz w:val="28"/>
          <w:szCs w:val="28"/>
          <w:highlight w:val="none"/>
        </w:rPr>
        <w:t>：</w:t>
      </w:r>
    </w:p>
    <w:p>
      <w:pPr>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1、关于资格的声明函；</w:t>
      </w:r>
    </w:p>
    <w:p>
      <w:pPr>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2、法定代表人身份证明书（提供复印件并加盖公章）;</w:t>
      </w:r>
    </w:p>
    <w:p>
      <w:pPr>
        <w:snapToGrid w:val="0"/>
        <w:spacing w:line="300" w:lineRule="auto"/>
        <w:ind w:firstLine="560" w:firstLineChars="200"/>
        <w:rPr>
          <w:rFonts w:ascii="宋体" w:hAnsi="宋体" w:cs="宋体"/>
          <w:color w:val="auto"/>
          <w:sz w:val="28"/>
          <w:szCs w:val="28"/>
          <w:highlight w:val="none"/>
          <w:lang w:val="zh-CN"/>
        </w:rPr>
      </w:pPr>
      <w:r>
        <w:rPr>
          <w:rFonts w:hint="eastAsia" w:ascii="宋体" w:hAnsi="宋体" w:cs="宋体"/>
          <w:color w:val="auto"/>
          <w:sz w:val="28"/>
          <w:szCs w:val="28"/>
          <w:highlight w:val="none"/>
          <w:lang w:val="zh-CN"/>
        </w:rPr>
        <w:t>3、法定代表人授权委托书原件，磋商代表本人身份证复印件（原件随身备查）；</w:t>
      </w:r>
    </w:p>
    <w:p>
      <w:pPr>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4、企业营业执照（经营范围适合本项目要求，提供复印件并加盖公章）；</w:t>
      </w:r>
    </w:p>
    <w:p>
      <w:pPr>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5、上一年度的财务状况报告（成立不满一年不需提供）；</w:t>
      </w:r>
    </w:p>
    <w:p>
      <w:pPr>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6、依法缴纳税收和社会保障资金的相关材料（2022年度）；</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7、具备履行合同所必需的设备和专业技术能力的证明材料：</w:t>
      </w:r>
    </w:p>
    <w:p>
      <w:pPr>
        <w:pStyle w:val="2"/>
        <w:ind w:firstLine="560" w:firstLineChars="200"/>
        <w:rPr>
          <w:rFonts w:ascii="宋体" w:hAnsi="宋体" w:eastAsia="宋体" w:cs="宋体"/>
          <w:color w:val="auto"/>
          <w:sz w:val="28"/>
          <w:szCs w:val="28"/>
          <w:highlight w:val="none"/>
        </w:rPr>
      </w:pPr>
      <w:r>
        <w:rPr>
          <w:rFonts w:hint="eastAsia" w:ascii="宋体" w:hAnsi="宋体" w:cs="宋体"/>
          <w:color w:val="auto"/>
          <w:sz w:val="28"/>
          <w:szCs w:val="28"/>
          <w:highlight w:val="none"/>
        </w:rPr>
        <w:t>8、</w:t>
      </w:r>
      <w:r>
        <w:rPr>
          <w:rFonts w:hint="eastAsia" w:ascii="宋体" w:hAnsi="宋体" w:eastAsia="宋体" w:cs="宋体"/>
          <w:color w:val="auto"/>
          <w:sz w:val="28"/>
          <w:szCs w:val="28"/>
          <w:highlight w:val="none"/>
        </w:rPr>
        <w:t>提供在南通本地售后服务机构（含代维机构）的证明材料（包括具体位置及店面内维修主材照片）；</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9、参加政府采购活动前三年内，在经营活动中没有重大违法记录的书面申明；</w:t>
      </w:r>
    </w:p>
    <w:p>
      <w:pPr>
        <w:pStyle w:val="2"/>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10、现场查勘证明；</w:t>
      </w:r>
    </w:p>
    <w:p>
      <w:pPr>
        <w:snapToGrid w:val="0"/>
        <w:spacing w:line="30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11、其它需要提交的资格审查证明材料。</w:t>
      </w:r>
    </w:p>
    <w:p>
      <w:pPr>
        <w:pStyle w:val="39"/>
        <w:snapToGrid w:val="0"/>
        <w:spacing w:line="300" w:lineRule="auto"/>
        <w:ind w:firstLine="579"/>
        <w:rPr>
          <w:rFonts w:ascii="宋体" w:eastAsia="宋体" w:cs="宋体"/>
          <w:color w:val="auto"/>
          <w:sz w:val="28"/>
          <w:highlight w:val="none"/>
        </w:rPr>
      </w:pPr>
      <w:r>
        <w:rPr>
          <w:rFonts w:hint="eastAsia" w:ascii="宋体" w:eastAsia="宋体" w:cs="宋体"/>
          <w:b/>
          <w:color w:val="auto"/>
          <w:sz w:val="28"/>
          <w:highlight w:val="none"/>
        </w:rPr>
        <w:t>二、商务技术响应文件（不能出现报价</w:t>
      </w:r>
      <w:r>
        <w:rPr>
          <w:rFonts w:hint="eastAsia" w:ascii="宋体" w:eastAsia="宋体" w:cs="宋体"/>
          <w:b/>
          <w:color w:val="auto"/>
          <w:sz w:val="28"/>
          <w:szCs w:val="24"/>
          <w:highlight w:val="none"/>
        </w:rPr>
        <w:t>；</w:t>
      </w:r>
      <w:r>
        <w:rPr>
          <w:rFonts w:hint="eastAsia" w:ascii="宋体" w:eastAsia="宋体" w:cs="宋体"/>
          <w:b/>
          <w:color w:val="auto"/>
          <w:sz w:val="28"/>
          <w:highlight w:val="none"/>
        </w:rPr>
        <w:t>一正两副，单独密封并牢固装订）：</w:t>
      </w:r>
    </w:p>
    <w:p>
      <w:pPr>
        <w:pStyle w:val="39"/>
        <w:snapToGrid w:val="0"/>
        <w:spacing w:line="300" w:lineRule="auto"/>
        <w:ind w:firstLine="560" w:firstLineChars="200"/>
        <w:rPr>
          <w:rFonts w:ascii="宋体" w:eastAsia="宋体" w:cs="宋体"/>
          <w:color w:val="auto"/>
          <w:sz w:val="28"/>
          <w:highlight w:val="none"/>
        </w:rPr>
      </w:pPr>
      <w:r>
        <w:rPr>
          <w:rFonts w:hint="eastAsia" w:ascii="宋体" w:eastAsia="宋体" w:cs="宋体"/>
          <w:color w:val="auto"/>
          <w:sz w:val="28"/>
          <w:highlight w:val="none"/>
        </w:rPr>
        <w:t>1、服务响应方案及评审办法中涉及的其他事项。</w:t>
      </w:r>
    </w:p>
    <w:p>
      <w:pPr>
        <w:pStyle w:val="39"/>
        <w:snapToGrid w:val="0"/>
        <w:spacing w:line="300" w:lineRule="auto"/>
        <w:ind w:firstLine="577"/>
        <w:rPr>
          <w:rFonts w:ascii="宋体" w:eastAsia="宋体" w:cs="宋体"/>
          <w:color w:val="auto"/>
          <w:sz w:val="28"/>
          <w:highlight w:val="none"/>
        </w:rPr>
      </w:pPr>
      <w:r>
        <w:rPr>
          <w:rFonts w:hint="eastAsia" w:ascii="宋体" w:eastAsia="宋体" w:cs="宋体"/>
          <w:color w:val="auto"/>
          <w:sz w:val="28"/>
          <w:highlight w:val="none"/>
        </w:rPr>
        <w:t>2、主要配件报价表。</w:t>
      </w:r>
    </w:p>
    <w:p>
      <w:pPr>
        <w:pStyle w:val="39"/>
        <w:snapToGrid w:val="0"/>
        <w:spacing w:line="300" w:lineRule="auto"/>
        <w:ind w:firstLine="560" w:firstLineChars="200"/>
        <w:rPr>
          <w:rFonts w:ascii="宋体" w:eastAsia="宋体" w:cs="宋体"/>
          <w:color w:val="auto"/>
          <w:sz w:val="28"/>
          <w:highlight w:val="none"/>
        </w:rPr>
      </w:pPr>
      <w:r>
        <w:rPr>
          <w:rFonts w:hint="eastAsia" w:ascii="宋体" w:eastAsia="宋体" w:cs="宋体"/>
          <w:color w:val="auto"/>
          <w:sz w:val="28"/>
          <w:highlight w:val="none"/>
        </w:rPr>
        <w:t>3、评审办法中未涉及的事项，供应商认为需要提交的其他资料。</w:t>
      </w:r>
    </w:p>
    <w:p>
      <w:pPr>
        <w:pStyle w:val="39"/>
        <w:snapToGrid w:val="0"/>
        <w:spacing w:line="300" w:lineRule="auto"/>
        <w:ind w:firstLine="560" w:firstLineChars="200"/>
        <w:rPr>
          <w:rFonts w:ascii="宋体" w:eastAsia="宋体" w:cs="宋体"/>
          <w:color w:val="auto"/>
          <w:sz w:val="28"/>
          <w:highlight w:val="none"/>
        </w:rPr>
      </w:pPr>
      <w:r>
        <w:rPr>
          <w:rFonts w:hint="eastAsia" w:ascii="宋体" w:eastAsia="宋体" w:cs="宋体"/>
          <w:color w:val="auto"/>
          <w:sz w:val="28"/>
          <w:highlight w:val="none"/>
        </w:rPr>
        <w:t>为方便评委评审，请供应商按评审办法中所涉及的事项顺序进行编制，可以补充相关材料。</w:t>
      </w:r>
    </w:p>
    <w:p>
      <w:pPr>
        <w:pStyle w:val="39"/>
        <w:snapToGrid w:val="0"/>
        <w:spacing w:line="300" w:lineRule="auto"/>
        <w:ind w:firstLine="562" w:firstLineChars="200"/>
        <w:rPr>
          <w:rFonts w:ascii="宋体" w:eastAsia="宋体" w:cs="宋体"/>
          <w:b/>
          <w:color w:val="auto"/>
          <w:sz w:val="28"/>
          <w:highlight w:val="none"/>
        </w:rPr>
      </w:pPr>
      <w:r>
        <w:rPr>
          <w:rFonts w:hint="eastAsia" w:ascii="宋体" w:eastAsia="宋体" w:cs="宋体"/>
          <w:b/>
          <w:color w:val="auto"/>
          <w:sz w:val="28"/>
          <w:highlight w:val="none"/>
        </w:rPr>
        <w:t>三、价格响应文件，一式三份（单独密封并牢固装订），不得出现在商务技术响应文件部分：</w:t>
      </w:r>
    </w:p>
    <w:p>
      <w:pPr>
        <w:pStyle w:val="39"/>
        <w:snapToGrid w:val="0"/>
        <w:spacing w:line="300" w:lineRule="auto"/>
        <w:ind w:firstLine="577"/>
        <w:rPr>
          <w:rFonts w:ascii="宋体" w:eastAsia="宋体" w:cs="宋体"/>
          <w:color w:val="auto"/>
          <w:sz w:val="28"/>
          <w:highlight w:val="none"/>
        </w:rPr>
      </w:pPr>
      <w:r>
        <w:rPr>
          <w:rFonts w:hint="eastAsia" w:ascii="宋体" w:eastAsia="宋体" w:cs="宋体"/>
          <w:color w:val="auto"/>
          <w:sz w:val="28"/>
          <w:highlight w:val="none"/>
        </w:rPr>
        <w:t>1、报价总表；</w:t>
      </w:r>
    </w:p>
    <w:p>
      <w:pPr>
        <w:pStyle w:val="39"/>
        <w:snapToGrid w:val="0"/>
        <w:spacing w:line="300" w:lineRule="auto"/>
        <w:ind w:firstLine="0" w:firstLineChars="0"/>
        <w:rPr>
          <w:rFonts w:ascii="宋体" w:eastAsia="宋体" w:cs="宋体"/>
          <w:color w:val="auto"/>
          <w:sz w:val="28"/>
          <w:highlight w:val="none"/>
        </w:rPr>
      </w:pPr>
    </w:p>
    <w:p>
      <w:pPr>
        <w:pStyle w:val="39"/>
        <w:snapToGrid w:val="0"/>
        <w:spacing w:line="300" w:lineRule="auto"/>
        <w:ind w:firstLine="0" w:firstLineChars="0"/>
        <w:rPr>
          <w:rFonts w:ascii="宋体" w:eastAsia="宋体" w:cs="宋体"/>
          <w:color w:val="auto"/>
          <w:sz w:val="28"/>
          <w:highlight w:val="none"/>
        </w:rPr>
      </w:pPr>
    </w:p>
    <w:p>
      <w:pPr>
        <w:pStyle w:val="39"/>
        <w:snapToGrid w:val="0"/>
        <w:spacing w:line="300" w:lineRule="auto"/>
        <w:ind w:firstLine="0" w:firstLineChars="0"/>
        <w:rPr>
          <w:rFonts w:ascii="宋体" w:eastAsia="宋体" w:cs="宋体"/>
          <w:color w:val="auto"/>
          <w:sz w:val="28"/>
          <w:highlight w:val="none"/>
        </w:rPr>
      </w:pPr>
    </w:p>
    <w:p>
      <w:pPr>
        <w:pStyle w:val="39"/>
        <w:snapToGrid w:val="0"/>
        <w:spacing w:line="300" w:lineRule="auto"/>
        <w:ind w:firstLine="0" w:firstLineChars="0"/>
        <w:rPr>
          <w:rFonts w:ascii="宋体" w:eastAsia="宋体" w:cs="宋体"/>
          <w:color w:val="auto"/>
          <w:sz w:val="28"/>
          <w:highlight w:val="none"/>
        </w:rPr>
      </w:pPr>
    </w:p>
    <w:p>
      <w:pPr>
        <w:pStyle w:val="39"/>
        <w:snapToGrid w:val="0"/>
        <w:spacing w:line="300" w:lineRule="auto"/>
        <w:ind w:firstLine="0" w:firstLineChars="0"/>
        <w:rPr>
          <w:rFonts w:ascii="宋体" w:eastAsia="宋体" w:cs="宋体"/>
          <w:color w:val="auto"/>
          <w:sz w:val="28"/>
          <w:highlight w:val="none"/>
        </w:rPr>
      </w:pPr>
    </w:p>
    <w:p>
      <w:pPr>
        <w:pStyle w:val="39"/>
        <w:snapToGrid w:val="0"/>
        <w:spacing w:line="300" w:lineRule="auto"/>
        <w:ind w:firstLine="0" w:firstLineChars="0"/>
        <w:rPr>
          <w:rFonts w:ascii="宋体" w:eastAsia="宋体" w:cs="宋体"/>
          <w:color w:val="auto"/>
          <w:sz w:val="28"/>
          <w:highlight w:val="none"/>
        </w:rPr>
      </w:pPr>
      <w:r>
        <w:rPr>
          <w:rFonts w:hint="eastAsia" w:ascii="宋体" w:eastAsia="宋体" w:cs="宋体"/>
          <w:color w:val="auto"/>
          <w:sz w:val="28"/>
          <w:highlight w:val="none"/>
        </w:rPr>
        <w:t>附件</w:t>
      </w:r>
    </w:p>
    <w:p>
      <w:pPr>
        <w:pStyle w:val="39"/>
        <w:snapToGrid w:val="0"/>
        <w:spacing w:line="300" w:lineRule="auto"/>
        <w:ind w:firstLine="0" w:firstLineChars="0"/>
        <w:contextualSpacing/>
        <w:rPr>
          <w:rFonts w:ascii="宋体" w:eastAsia="宋体" w:cs="宋体"/>
          <w:b/>
          <w:color w:val="auto"/>
          <w:sz w:val="28"/>
          <w:highlight w:val="none"/>
        </w:rPr>
      </w:pPr>
      <w:r>
        <w:rPr>
          <w:rFonts w:ascii="宋体" w:eastAsia="宋体" w:cs="宋体"/>
          <w:b/>
          <w:color w:val="auto"/>
          <w:sz w:val="24"/>
          <w:szCs w:val="24"/>
          <w:highlight w:val="none"/>
        </w:rPr>
        <w:t>A</w:t>
      </w:r>
      <w:r>
        <w:rPr>
          <w:rFonts w:hint="eastAsia" w:ascii="宋体" w:eastAsia="宋体" w:cs="宋体"/>
          <w:b/>
          <w:color w:val="auto"/>
          <w:sz w:val="24"/>
          <w:szCs w:val="24"/>
          <w:highlight w:val="none"/>
        </w:rPr>
        <w:t>、资格审查文件（一个密封包，含一正二副文件）</w:t>
      </w:r>
    </w:p>
    <w:p>
      <w:pPr>
        <w:pStyle w:val="39"/>
        <w:snapToGrid w:val="0"/>
        <w:spacing w:line="300" w:lineRule="auto"/>
        <w:ind w:firstLine="0" w:firstLineChars="0"/>
        <w:contextualSpacing/>
        <w:jc w:val="center"/>
        <w:rPr>
          <w:rFonts w:ascii="宋体" w:eastAsia="宋体" w:cs="宋体"/>
          <w:b/>
          <w:color w:val="auto"/>
          <w:sz w:val="28"/>
          <w:szCs w:val="24"/>
          <w:highlight w:val="none"/>
        </w:rPr>
      </w:pPr>
      <w:r>
        <w:rPr>
          <w:rFonts w:hint="eastAsia" w:ascii="宋体" w:eastAsia="宋体" w:cs="宋体"/>
          <w:b/>
          <w:color w:val="auto"/>
          <w:sz w:val="28"/>
          <w:szCs w:val="24"/>
          <w:highlight w:val="none"/>
        </w:rPr>
        <w:t>一、关于资格的声明函</w:t>
      </w:r>
    </w:p>
    <w:p>
      <w:pPr>
        <w:spacing w:line="360" w:lineRule="auto"/>
        <w:jc w:val="center"/>
        <w:rPr>
          <w:rFonts w:ascii="宋体" w:hAnsi="宋体" w:cs="宋体"/>
          <w:b/>
          <w:color w:val="auto"/>
          <w:szCs w:val="21"/>
          <w:highlight w:val="none"/>
        </w:rPr>
      </w:pPr>
    </w:p>
    <w:p>
      <w:pPr>
        <w:snapToGrid w:val="0"/>
        <w:spacing w:line="300" w:lineRule="auto"/>
        <w:contextualSpacing/>
        <w:rPr>
          <w:rFonts w:ascii="宋体" w:hAnsi="宋体" w:cs="宋体"/>
          <w:b/>
          <w:color w:val="auto"/>
          <w:sz w:val="28"/>
          <w:szCs w:val="28"/>
          <w:highlight w:val="none"/>
        </w:rPr>
      </w:pPr>
      <w:r>
        <w:rPr>
          <w:rFonts w:hint="eastAsia" w:ascii="宋体" w:hAnsi="宋体" w:cs="宋体"/>
          <w:b/>
          <w:color w:val="auto"/>
          <w:sz w:val="28"/>
          <w:szCs w:val="28"/>
          <w:highlight w:val="none"/>
        </w:rPr>
        <w:t>南通市第二中学：</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我公司认真对照磋商公告，符合贵方提出的资格要求，自愿参加磋商响应，并保证提供的资料文件是准确的和真实的。提供虚假材料的愿意承担相应的法律责任。</w:t>
      </w:r>
    </w:p>
    <w:p>
      <w:pPr>
        <w:pStyle w:val="12"/>
        <w:snapToGrid w:val="0"/>
        <w:spacing w:line="300" w:lineRule="auto"/>
        <w:ind w:firstLine="280" w:firstLineChars="100"/>
        <w:contextualSpacing/>
        <w:jc w:val="left"/>
        <w:rPr>
          <w:rFonts w:hAnsi="宋体" w:cs="宋体"/>
          <w:color w:val="auto"/>
          <w:sz w:val="28"/>
          <w:szCs w:val="28"/>
          <w:highlight w:val="none"/>
        </w:rPr>
      </w:pPr>
      <w:r>
        <w:rPr>
          <w:rFonts w:hint="eastAsia" w:hAnsi="宋体" w:cs="宋体"/>
          <w:color w:val="auto"/>
          <w:sz w:val="28"/>
          <w:szCs w:val="28"/>
          <w:highlight w:val="none"/>
        </w:rPr>
        <w:t xml:space="preserve">   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Style w:val="21"/>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977"/>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242" w:type="dxa"/>
            <w:vAlign w:val="center"/>
          </w:tcPr>
          <w:p>
            <w:pPr>
              <w:pStyle w:val="7"/>
              <w:snapToGrid w:val="0"/>
              <w:spacing w:line="300" w:lineRule="auto"/>
              <w:ind w:firstLine="0"/>
              <w:contextualSpacing/>
              <w:jc w:val="center"/>
              <w:rPr>
                <w:rFonts w:ascii="宋体" w:hAnsi="宋体" w:cs="宋体"/>
                <w:b/>
                <w:color w:val="auto"/>
                <w:sz w:val="28"/>
                <w:szCs w:val="28"/>
                <w:highlight w:val="none"/>
              </w:rPr>
            </w:pPr>
            <w:r>
              <w:rPr>
                <w:rFonts w:hint="eastAsia" w:ascii="宋体" w:hAnsi="宋体" w:cs="宋体"/>
                <w:b/>
                <w:color w:val="auto"/>
                <w:sz w:val="28"/>
                <w:szCs w:val="28"/>
                <w:highlight w:val="none"/>
              </w:rPr>
              <w:t>时 间</w:t>
            </w:r>
          </w:p>
        </w:tc>
        <w:tc>
          <w:tcPr>
            <w:tcW w:w="2977" w:type="dxa"/>
            <w:vAlign w:val="center"/>
          </w:tcPr>
          <w:p>
            <w:pPr>
              <w:pStyle w:val="7"/>
              <w:snapToGrid w:val="0"/>
              <w:spacing w:line="300" w:lineRule="auto"/>
              <w:ind w:firstLine="0"/>
              <w:contextualSpacing/>
              <w:jc w:val="center"/>
              <w:rPr>
                <w:rFonts w:ascii="宋体" w:hAnsi="宋体" w:cs="宋体"/>
                <w:b/>
                <w:color w:val="auto"/>
                <w:sz w:val="28"/>
                <w:szCs w:val="28"/>
                <w:highlight w:val="none"/>
              </w:rPr>
            </w:pPr>
            <w:r>
              <w:rPr>
                <w:rFonts w:hint="eastAsia" w:ascii="宋体" w:hAnsi="宋体" w:cs="宋体"/>
                <w:b/>
                <w:color w:val="auto"/>
                <w:sz w:val="28"/>
                <w:szCs w:val="28"/>
                <w:highlight w:val="none"/>
              </w:rPr>
              <w:t>受处理的原因</w:t>
            </w:r>
          </w:p>
          <w:p>
            <w:pPr>
              <w:pStyle w:val="7"/>
              <w:snapToGrid w:val="0"/>
              <w:spacing w:line="300" w:lineRule="auto"/>
              <w:ind w:firstLine="0"/>
              <w:contextualSpacing/>
              <w:jc w:val="center"/>
              <w:rPr>
                <w:rFonts w:ascii="宋体" w:hAnsi="宋体" w:cs="宋体"/>
                <w:color w:val="auto"/>
                <w:sz w:val="28"/>
                <w:szCs w:val="28"/>
                <w:highlight w:val="none"/>
              </w:rPr>
            </w:pPr>
            <w:r>
              <w:rPr>
                <w:rFonts w:hint="eastAsia" w:ascii="宋体" w:hAnsi="宋体" w:cs="宋体"/>
                <w:color w:val="auto"/>
                <w:sz w:val="28"/>
                <w:szCs w:val="28"/>
                <w:highlight w:val="none"/>
              </w:rPr>
              <w:t>（如在政府采购活动中受处理的，注明采购项目名称及处理原因）</w:t>
            </w:r>
          </w:p>
        </w:tc>
        <w:tc>
          <w:tcPr>
            <w:tcW w:w="2977" w:type="dxa"/>
            <w:vAlign w:val="center"/>
          </w:tcPr>
          <w:p>
            <w:pPr>
              <w:pStyle w:val="7"/>
              <w:snapToGrid w:val="0"/>
              <w:spacing w:line="300" w:lineRule="auto"/>
              <w:ind w:firstLine="0"/>
              <w:contextualSpacing/>
              <w:jc w:val="center"/>
              <w:rPr>
                <w:rFonts w:ascii="宋体" w:hAnsi="宋体" w:cs="宋体"/>
                <w:b/>
                <w:color w:val="auto"/>
                <w:sz w:val="28"/>
                <w:szCs w:val="28"/>
                <w:highlight w:val="none"/>
              </w:rPr>
            </w:pPr>
            <w:r>
              <w:rPr>
                <w:rFonts w:hint="eastAsia" w:ascii="宋体" w:hAnsi="宋体" w:cs="宋体"/>
                <w:b/>
                <w:color w:val="auto"/>
                <w:sz w:val="28"/>
                <w:szCs w:val="28"/>
                <w:highlight w:val="none"/>
              </w:rPr>
              <w:t>处理的内容</w:t>
            </w:r>
          </w:p>
          <w:p>
            <w:pPr>
              <w:pStyle w:val="7"/>
              <w:snapToGrid w:val="0"/>
              <w:spacing w:line="300" w:lineRule="auto"/>
              <w:ind w:firstLine="0"/>
              <w:contextualSpacing/>
              <w:jc w:val="center"/>
              <w:rPr>
                <w:rFonts w:ascii="宋体" w:hAnsi="宋体" w:cs="宋体"/>
                <w:color w:val="auto"/>
                <w:sz w:val="28"/>
                <w:szCs w:val="28"/>
                <w:highlight w:val="none"/>
              </w:rPr>
            </w:pPr>
            <w:r>
              <w:rPr>
                <w:rFonts w:hint="eastAsia" w:ascii="宋体" w:hAnsi="宋体" w:cs="宋体"/>
                <w:color w:val="auto"/>
                <w:sz w:val="28"/>
                <w:szCs w:val="28"/>
                <w:highlight w:val="none"/>
              </w:rPr>
              <w:t>（如受到禁止一段时期参加某种项目的政府采购活动的，要说明解禁时间）</w:t>
            </w:r>
          </w:p>
        </w:tc>
        <w:tc>
          <w:tcPr>
            <w:tcW w:w="1276" w:type="dxa"/>
            <w:vAlign w:val="center"/>
          </w:tcPr>
          <w:p>
            <w:pPr>
              <w:pStyle w:val="7"/>
              <w:snapToGrid w:val="0"/>
              <w:spacing w:line="300" w:lineRule="auto"/>
              <w:ind w:firstLine="0"/>
              <w:contextualSpacing/>
              <w:jc w:val="center"/>
              <w:rPr>
                <w:rFonts w:ascii="宋体" w:hAnsi="宋体" w:cs="宋体"/>
                <w:b/>
                <w:color w:val="auto"/>
                <w:sz w:val="28"/>
                <w:szCs w:val="28"/>
                <w:highlight w:val="none"/>
              </w:rPr>
            </w:pPr>
            <w:r>
              <w:rPr>
                <w:rFonts w:hint="eastAsia" w:ascii="宋体" w:hAnsi="宋体" w:cs="宋体"/>
                <w:b/>
                <w:color w:val="auto"/>
                <w:sz w:val="28"/>
                <w:szCs w:val="28"/>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9" w:hRule="atLeast"/>
          <w:jc w:val="center"/>
        </w:trPr>
        <w:tc>
          <w:tcPr>
            <w:tcW w:w="1242" w:type="dxa"/>
          </w:tcPr>
          <w:p>
            <w:pPr>
              <w:pStyle w:val="7"/>
              <w:snapToGrid w:val="0"/>
              <w:spacing w:line="300" w:lineRule="auto"/>
              <w:ind w:firstLine="0"/>
              <w:contextualSpacing/>
              <w:rPr>
                <w:rFonts w:ascii="宋体" w:hAnsi="宋体" w:cs="宋体"/>
                <w:color w:val="auto"/>
                <w:sz w:val="28"/>
                <w:szCs w:val="28"/>
                <w:highlight w:val="none"/>
              </w:rPr>
            </w:pPr>
          </w:p>
        </w:tc>
        <w:tc>
          <w:tcPr>
            <w:tcW w:w="2977" w:type="dxa"/>
          </w:tcPr>
          <w:p>
            <w:pPr>
              <w:pStyle w:val="7"/>
              <w:snapToGrid w:val="0"/>
              <w:spacing w:line="300" w:lineRule="auto"/>
              <w:ind w:firstLine="0"/>
              <w:contextualSpacing/>
              <w:rPr>
                <w:rFonts w:ascii="宋体" w:hAnsi="宋体" w:cs="宋体"/>
                <w:color w:val="auto"/>
                <w:sz w:val="28"/>
                <w:szCs w:val="28"/>
                <w:highlight w:val="none"/>
              </w:rPr>
            </w:pPr>
          </w:p>
        </w:tc>
        <w:tc>
          <w:tcPr>
            <w:tcW w:w="2977" w:type="dxa"/>
          </w:tcPr>
          <w:p>
            <w:pPr>
              <w:pStyle w:val="7"/>
              <w:snapToGrid w:val="0"/>
              <w:spacing w:line="300" w:lineRule="auto"/>
              <w:ind w:firstLine="0"/>
              <w:contextualSpacing/>
              <w:rPr>
                <w:rFonts w:ascii="宋体" w:hAnsi="宋体" w:cs="宋体"/>
                <w:color w:val="auto"/>
                <w:sz w:val="28"/>
                <w:szCs w:val="28"/>
                <w:highlight w:val="none"/>
              </w:rPr>
            </w:pPr>
          </w:p>
        </w:tc>
        <w:tc>
          <w:tcPr>
            <w:tcW w:w="1276" w:type="dxa"/>
          </w:tcPr>
          <w:p>
            <w:pPr>
              <w:pStyle w:val="7"/>
              <w:snapToGrid w:val="0"/>
              <w:spacing w:line="300" w:lineRule="auto"/>
              <w:ind w:firstLine="0"/>
              <w:contextualSpacing/>
              <w:rPr>
                <w:rFonts w:ascii="宋体" w:hAnsi="宋体" w:cs="宋体"/>
                <w:color w:val="auto"/>
                <w:sz w:val="28"/>
                <w:szCs w:val="28"/>
                <w:highlight w:val="none"/>
              </w:rPr>
            </w:pPr>
          </w:p>
        </w:tc>
      </w:tr>
    </w:tbl>
    <w:p>
      <w:pPr>
        <w:pStyle w:val="7"/>
        <w:snapToGrid w:val="0"/>
        <w:spacing w:line="300" w:lineRule="auto"/>
        <w:contextualSpacing/>
        <w:rPr>
          <w:rFonts w:ascii="宋体" w:hAnsi="宋体" w:cs="宋体"/>
          <w:color w:val="auto"/>
          <w:sz w:val="28"/>
          <w:szCs w:val="28"/>
          <w:highlight w:val="none"/>
        </w:rPr>
      </w:pPr>
    </w:p>
    <w:p>
      <w:pPr>
        <w:pStyle w:val="7"/>
        <w:rPr>
          <w:rFonts w:ascii="宋体" w:hAnsi="宋体" w:cs="宋体"/>
          <w:color w:val="auto"/>
          <w:sz w:val="28"/>
          <w:szCs w:val="28"/>
          <w:highlight w:val="none"/>
        </w:rPr>
      </w:pPr>
    </w:p>
    <w:p>
      <w:pPr>
        <w:pStyle w:val="7"/>
        <w:rPr>
          <w:rFonts w:ascii="宋体" w:hAnsi="宋体" w:cs="宋体"/>
          <w:color w:val="auto"/>
          <w:sz w:val="28"/>
          <w:szCs w:val="28"/>
          <w:highlight w:val="none"/>
        </w:rPr>
      </w:pPr>
    </w:p>
    <w:p>
      <w:pPr>
        <w:pStyle w:val="7"/>
        <w:rPr>
          <w:rFonts w:ascii="宋体" w:hAnsi="宋体" w:cs="宋体"/>
          <w:color w:val="auto"/>
          <w:sz w:val="28"/>
          <w:szCs w:val="28"/>
          <w:highlight w:val="none"/>
        </w:rPr>
      </w:pPr>
      <w:r>
        <w:rPr>
          <w:rFonts w:hint="eastAsia" w:ascii="宋体" w:hAnsi="宋体" w:cs="宋体"/>
          <w:color w:val="auto"/>
          <w:sz w:val="28"/>
          <w:szCs w:val="28"/>
          <w:highlight w:val="none"/>
        </w:rPr>
        <w:t xml:space="preserve">                               供应商名称（盖章）：</w:t>
      </w:r>
    </w:p>
    <w:p>
      <w:pPr>
        <w:pStyle w:val="7"/>
        <w:rPr>
          <w:rFonts w:ascii="宋体" w:hAnsi="宋体" w:cs="宋体"/>
          <w:color w:val="auto"/>
          <w:sz w:val="28"/>
          <w:szCs w:val="28"/>
          <w:highlight w:val="none"/>
        </w:rPr>
      </w:pPr>
      <w:r>
        <w:rPr>
          <w:rFonts w:hint="eastAsia" w:ascii="宋体" w:hAnsi="宋体" w:cs="宋体"/>
          <w:color w:val="auto"/>
          <w:sz w:val="28"/>
          <w:szCs w:val="28"/>
          <w:highlight w:val="none"/>
        </w:rPr>
        <w:t xml:space="preserve">                                 时间：</w:t>
      </w:r>
    </w:p>
    <w:p>
      <w:pPr>
        <w:pStyle w:val="39"/>
        <w:snapToGrid w:val="0"/>
        <w:spacing w:line="300" w:lineRule="auto"/>
        <w:ind w:firstLine="0" w:firstLineChars="0"/>
        <w:rPr>
          <w:rFonts w:ascii="宋体" w:eastAsia="宋体" w:cs="宋体"/>
          <w:color w:val="auto"/>
          <w:sz w:val="28"/>
          <w:highlight w:val="none"/>
        </w:rPr>
      </w:pPr>
    </w:p>
    <w:p>
      <w:pPr>
        <w:pStyle w:val="39"/>
        <w:snapToGrid w:val="0"/>
        <w:spacing w:line="300" w:lineRule="auto"/>
        <w:ind w:firstLine="0" w:firstLineChars="0"/>
        <w:contextualSpacing/>
        <w:jc w:val="center"/>
        <w:rPr>
          <w:rFonts w:ascii="宋体" w:eastAsia="宋体" w:cs="宋体"/>
          <w:b/>
          <w:color w:val="auto"/>
          <w:sz w:val="28"/>
          <w:szCs w:val="24"/>
          <w:highlight w:val="none"/>
        </w:rPr>
      </w:pPr>
    </w:p>
    <w:p>
      <w:pPr>
        <w:pStyle w:val="39"/>
        <w:snapToGrid w:val="0"/>
        <w:spacing w:line="300" w:lineRule="auto"/>
        <w:ind w:firstLine="0" w:firstLineChars="0"/>
        <w:contextualSpacing/>
        <w:jc w:val="center"/>
        <w:rPr>
          <w:rFonts w:ascii="宋体" w:eastAsia="宋体" w:cs="宋体"/>
          <w:b/>
          <w:color w:val="auto"/>
          <w:sz w:val="28"/>
          <w:szCs w:val="24"/>
          <w:highlight w:val="none"/>
        </w:rPr>
      </w:pPr>
      <w:r>
        <w:rPr>
          <w:rFonts w:hint="eastAsia" w:ascii="宋体" w:eastAsia="宋体" w:cs="宋体"/>
          <w:b/>
          <w:color w:val="auto"/>
          <w:sz w:val="28"/>
          <w:szCs w:val="24"/>
          <w:highlight w:val="none"/>
        </w:rPr>
        <w:t>二、法定代表人身份证明书</w:t>
      </w:r>
    </w:p>
    <w:p>
      <w:pPr>
        <w:snapToGrid w:val="0"/>
        <w:spacing w:line="300" w:lineRule="auto"/>
        <w:ind w:firstLine="560" w:firstLineChars="200"/>
        <w:contextualSpacing/>
        <w:rPr>
          <w:rFonts w:ascii="宋体" w:hAnsi="宋体" w:cs="宋体"/>
          <w:color w:val="auto"/>
          <w:sz w:val="28"/>
          <w:szCs w:val="28"/>
          <w:highlight w:val="none"/>
        </w:rPr>
      </w:pP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先生／女士：现任我单位</w:t>
      </w:r>
      <w:r>
        <w:rPr>
          <w:rFonts w:hint="eastAsia" w:ascii="宋体" w:hAnsi="宋体" w:cs="宋体"/>
          <w:color w:val="auto"/>
          <w:sz w:val="28"/>
          <w:szCs w:val="28"/>
          <w:highlight w:val="none"/>
          <w:u w:val="single"/>
        </w:rPr>
        <w:t>　　　　　　　</w:t>
      </w:r>
      <w:r>
        <w:rPr>
          <w:rFonts w:hint="eastAsia" w:ascii="宋体" w:hAnsi="宋体" w:cs="宋体"/>
          <w:color w:val="auto"/>
          <w:sz w:val="28"/>
          <w:szCs w:val="28"/>
          <w:highlight w:val="none"/>
        </w:rPr>
        <w:t>职务，为法定代表人，特此证明。</w:t>
      </w:r>
    </w:p>
    <w:p>
      <w:pPr>
        <w:snapToGrid w:val="0"/>
        <w:spacing w:line="300" w:lineRule="auto"/>
        <w:ind w:firstLine="560" w:firstLineChars="200"/>
        <w:contextualSpacing/>
        <w:rPr>
          <w:rFonts w:ascii="宋体" w:hAnsi="宋体" w:cs="宋体"/>
          <w:color w:val="auto"/>
          <w:sz w:val="28"/>
          <w:szCs w:val="28"/>
          <w:highlight w:val="none"/>
          <w:u w:val="single"/>
        </w:rPr>
      </w:pPr>
      <w:r>
        <w:rPr>
          <w:rFonts w:hint="eastAsia" w:ascii="宋体" w:hAnsi="宋体" w:cs="宋体"/>
          <w:color w:val="auto"/>
          <w:sz w:val="28"/>
          <w:szCs w:val="28"/>
          <w:highlight w:val="none"/>
        </w:rPr>
        <w:t>身份证号码：</w:t>
      </w:r>
    </w:p>
    <w:p>
      <w:pPr>
        <w:snapToGrid w:val="0"/>
        <w:spacing w:line="300" w:lineRule="auto"/>
        <w:contextualSpacing/>
        <w:rPr>
          <w:rFonts w:ascii="宋体" w:hAnsi="宋体" w:cs="宋体"/>
          <w:b/>
          <w:color w:val="auto"/>
          <w:sz w:val="28"/>
          <w:szCs w:val="28"/>
          <w:highlight w:val="none"/>
        </w:rPr>
      </w:pPr>
      <w:r>
        <w:rPr>
          <w:rFonts w:hint="eastAsia" w:ascii="宋体" w:hAnsi="宋体" w:cs="宋体"/>
          <w:b/>
          <w:color w:val="auto"/>
          <w:sz w:val="28"/>
          <w:szCs w:val="28"/>
          <w:highlight w:val="none"/>
        </w:rPr>
        <w:t>注：提供法定代表人的身份证复印件盖公章</w:t>
      </w:r>
    </w:p>
    <w:p>
      <w:pPr>
        <w:pStyle w:val="2"/>
        <w:rPr>
          <w:rFonts w:ascii="宋体" w:hAnsi="宋体" w:eastAsia="宋体" w:cs="宋体"/>
          <w:b/>
          <w:color w:val="auto"/>
          <w:sz w:val="28"/>
          <w:szCs w:val="28"/>
          <w:highlight w:val="none"/>
        </w:rPr>
      </w:pPr>
    </w:p>
    <w:p>
      <w:pPr>
        <w:pStyle w:val="2"/>
        <w:rPr>
          <w:rFonts w:ascii="宋体" w:hAnsi="宋体" w:eastAsia="宋体" w:cs="宋体"/>
          <w:b/>
          <w:color w:val="auto"/>
          <w:sz w:val="28"/>
          <w:szCs w:val="28"/>
          <w:highlight w:val="none"/>
        </w:rPr>
      </w:pPr>
    </w:p>
    <w:p>
      <w:pPr>
        <w:snapToGrid w:val="0"/>
        <w:spacing w:line="300" w:lineRule="auto"/>
        <w:ind w:firstLine="5180" w:firstLineChars="1850"/>
        <w:contextualSpacing/>
        <w:rPr>
          <w:rFonts w:ascii="宋体" w:hAnsi="宋体" w:cs="宋体"/>
          <w:color w:val="auto"/>
          <w:sz w:val="28"/>
          <w:szCs w:val="28"/>
          <w:highlight w:val="none"/>
        </w:rPr>
      </w:pPr>
      <w:r>
        <w:rPr>
          <w:rFonts w:hint="eastAsia" w:ascii="宋体" w:hAnsi="宋体" w:cs="宋体"/>
          <w:color w:val="auto"/>
          <w:sz w:val="28"/>
          <w:szCs w:val="28"/>
          <w:highlight w:val="none"/>
        </w:rPr>
        <w:t>响应供应商（盖章）</w:t>
      </w:r>
    </w:p>
    <w:p>
      <w:pPr>
        <w:snapToGrid w:val="0"/>
        <w:spacing w:line="300" w:lineRule="auto"/>
        <w:contextualSpacing/>
        <w:rPr>
          <w:rFonts w:ascii="宋体" w:hAnsi="宋体" w:cs="宋体"/>
          <w:color w:val="auto"/>
          <w:sz w:val="28"/>
          <w:szCs w:val="28"/>
          <w:highlight w:val="none"/>
        </w:rPr>
      </w:pPr>
    </w:p>
    <w:p>
      <w:pPr>
        <w:pStyle w:val="14"/>
        <w:snapToGrid w:val="0"/>
        <w:spacing w:line="300" w:lineRule="auto"/>
        <w:ind w:firstLine="5180" w:firstLineChars="1850"/>
        <w:contextualSpacing/>
        <w:rPr>
          <w:rFonts w:ascii="宋体" w:hAnsi="宋体" w:cs="宋体"/>
          <w:bCs/>
          <w:color w:val="auto"/>
          <w:sz w:val="28"/>
          <w:szCs w:val="28"/>
          <w:highlight w:val="none"/>
        </w:rPr>
      </w:pPr>
      <w:r>
        <w:rPr>
          <w:rFonts w:hint="eastAsia" w:ascii="宋体" w:hAnsi="宋体" w:cs="宋体"/>
          <w:bCs/>
          <w:color w:val="auto"/>
          <w:sz w:val="28"/>
          <w:szCs w:val="28"/>
          <w:highlight w:val="none"/>
        </w:rPr>
        <w:t>年    月    日</w:t>
      </w:r>
    </w:p>
    <w:p>
      <w:pPr>
        <w:pStyle w:val="39"/>
        <w:snapToGrid w:val="0"/>
        <w:spacing w:line="300" w:lineRule="auto"/>
        <w:ind w:firstLine="0" w:firstLineChars="0"/>
        <w:contextualSpacing/>
        <w:jc w:val="center"/>
        <w:rPr>
          <w:rFonts w:ascii="宋体" w:eastAsia="宋体" w:cs="宋体"/>
          <w:b/>
          <w:color w:val="auto"/>
          <w:sz w:val="36"/>
          <w:szCs w:val="36"/>
          <w:highlight w:val="none"/>
        </w:rPr>
      </w:pPr>
    </w:p>
    <w:p>
      <w:pPr>
        <w:pStyle w:val="39"/>
        <w:snapToGrid w:val="0"/>
        <w:spacing w:line="300" w:lineRule="auto"/>
        <w:ind w:firstLine="0" w:firstLineChars="0"/>
        <w:contextualSpacing/>
        <w:jc w:val="center"/>
        <w:rPr>
          <w:rFonts w:ascii="宋体" w:eastAsia="宋体" w:cs="宋体"/>
          <w:b/>
          <w:color w:val="auto"/>
          <w:sz w:val="36"/>
          <w:szCs w:val="36"/>
          <w:highlight w:val="none"/>
        </w:rPr>
        <w:sectPr>
          <w:pgSz w:w="11907" w:h="16839"/>
          <w:pgMar w:top="1440" w:right="726" w:bottom="873" w:left="1236" w:header="720" w:footer="720" w:gutter="0"/>
          <w:cols w:space="720" w:num="1"/>
          <w:docGrid w:linePitch="286" w:charSpace="0"/>
        </w:sectPr>
      </w:pPr>
    </w:p>
    <w:p>
      <w:pPr>
        <w:pStyle w:val="39"/>
        <w:snapToGrid w:val="0"/>
        <w:spacing w:line="300" w:lineRule="auto"/>
        <w:ind w:firstLine="0" w:firstLineChars="0"/>
        <w:contextualSpacing/>
        <w:jc w:val="center"/>
        <w:rPr>
          <w:rFonts w:ascii="宋体" w:eastAsia="宋体" w:cs="宋体"/>
          <w:b/>
          <w:color w:val="auto"/>
          <w:sz w:val="28"/>
          <w:szCs w:val="24"/>
          <w:highlight w:val="none"/>
        </w:rPr>
      </w:pPr>
      <w:r>
        <w:rPr>
          <w:rFonts w:hint="eastAsia" w:ascii="宋体" w:eastAsia="宋体" w:cs="宋体"/>
          <w:b/>
          <w:color w:val="auto"/>
          <w:sz w:val="28"/>
          <w:szCs w:val="24"/>
          <w:highlight w:val="none"/>
        </w:rPr>
        <w:t>三、法定代表人授权委托书</w:t>
      </w:r>
    </w:p>
    <w:p>
      <w:pPr>
        <w:snapToGrid w:val="0"/>
        <w:spacing w:line="300" w:lineRule="auto"/>
        <w:ind w:firstLine="517" w:firstLineChars="245"/>
        <w:contextualSpacing/>
        <w:jc w:val="center"/>
        <w:rPr>
          <w:rFonts w:ascii="宋体" w:hAnsi="宋体" w:cs="宋体"/>
          <w:b/>
          <w:bCs/>
          <w:color w:val="auto"/>
          <w:szCs w:val="21"/>
          <w:highlight w:val="none"/>
        </w:rPr>
      </w:pPr>
    </w:p>
    <w:p>
      <w:pPr>
        <w:snapToGrid w:val="0"/>
        <w:spacing w:line="300" w:lineRule="auto"/>
        <w:contextualSpacing/>
        <w:rPr>
          <w:rFonts w:ascii="宋体" w:hAnsi="宋体" w:cs="宋体"/>
          <w:b/>
          <w:color w:val="auto"/>
          <w:sz w:val="28"/>
          <w:szCs w:val="28"/>
          <w:highlight w:val="none"/>
        </w:rPr>
      </w:pPr>
      <w:r>
        <w:rPr>
          <w:rFonts w:hint="eastAsia" w:ascii="宋体" w:hAnsi="宋体" w:cs="宋体"/>
          <w:b/>
          <w:color w:val="auto"/>
          <w:sz w:val="28"/>
          <w:szCs w:val="28"/>
          <w:highlight w:val="none"/>
        </w:rPr>
        <w:t>南通市第二中学：</w:t>
      </w:r>
    </w:p>
    <w:p>
      <w:pPr>
        <w:pStyle w:val="12"/>
        <w:snapToGrid w:val="0"/>
        <w:spacing w:line="300" w:lineRule="auto"/>
        <w:ind w:firstLine="420"/>
        <w:contextualSpacing/>
        <w:rPr>
          <w:rFonts w:hAnsi="宋体" w:cs="宋体"/>
          <w:color w:val="auto"/>
          <w:sz w:val="28"/>
          <w:szCs w:val="28"/>
          <w:highlight w:val="none"/>
        </w:rPr>
      </w:pPr>
      <w:r>
        <w:rPr>
          <w:rFonts w:hint="eastAsia" w:hAnsi="宋体" w:cs="宋体"/>
          <w:color w:val="auto"/>
          <w:sz w:val="28"/>
          <w:szCs w:val="28"/>
          <w:highlight w:val="none"/>
        </w:rPr>
        <w:t xml:space="preserve">  本授权委托书声明：我</w:t>
      </w:r>
      <w:r>
        <w:rPr>
          <w:rFonts w:hint="eastAsia" w:hAnsi="宋体" w:cs="宋体"/>
          <w:color w:val="auto"/>
          <w:sz w:val="28"/>
          <w:szCs w:val="28"/>
          <w:highlight w:val="none"/>
          <w:u w:val="single"/>
        </w:rPr>
        <w:t>　　   　</w:t>
      </w:r>
      <w:r>
        <w:rPr>
          <w:rFonts w:hint="eastAsia" w:hAnsi="宋体" w:cs="宋体"/>
          <w:color w:val="auto"/>
          <w:sz w:val="28"/>
          <w:szCs w:val="28"/>
          <w:highlight w:val="none"/>
        </w:rPr>
        <w:t>（姓名）系</w:t>
      </w:r>
      <w:r>
        <w:rPr>
          <w:rFonts w:hint="eastAsia" w:hAnsi="宋体" w:cs="宋体"/>
          <w:color w:val="auto"/>
          <w:sz w:val="28"/>
          <w:szCs w:val="28"/>
          <w:highlight w:val="none"/>
          <w:u w:val="single"/>
        </w:rPr>
        <w:t>　　  　</w:t>
      </w:r>
      <w:r>
        <w:rPr>
          <w:rFonts w:hint="eastAsia" w:hAnsi="宋体" w:cs="宋体"/>
          <w:color w:val="auto"/>
          <w:sz w:val="28"/>
          <w:szCs w:val="28"/>
          <w:highlight w:val="none"/>
        </w:rPr>
        <w:t>（响应人名称）的法定代表人，现授权委托</w:t>
      </w:r>
      <w:r>
        <w:rPr>
          <w:rFonts w:hint="eastAsia" w:hAnsi="宋体" w:cs="宋体"/>
          <w:color w:val="auto"/>
          <w:sz w:val="28"/>
          <w:szCs w:val="28"/>
          <w:highlight w:val="none"/>
          <w:u w:val="single"/>
        </w:rPr>
        <w:t>　　   （</w:t>
      </w:r>
      <w:r>
        <w:rPr>
          <w:rFonts w:hint="eastAsia" w:hAnsi="宋体" w:cs="宋体"/>
          <w:color w:val="auto"/>
          <w:sz w:val="28"/>
          <w:szCs w:val="28"/>
          <w:highlight w:val="none"/>
        </w:rPr>
        <w:t>姓名）为我公司代理人，以本公司的名义参加本项目的响应活动。代理人在开标、评审、合同谈判过程中所签署的一切文件和处理与之有关的一切事务，我均予以承认。</w:t>
      </w:r>
    </w:p>
    <w:p>
      <w:pPr>
        <w:pStyle w:val="12"/>
        <w:snapToGrid w:val="0"/>
        <w:spacing w:line="300" w:lineRule="auto"/>
        <w:ind w:firstLine="420"/>
        <w:contextualSpacing/>
        <w:rPr>
          <w:rFonts w:hAnsi="宋体" w:cs="宋体"/>
          <w:color w:val="auto"/>
          <w:sz w:val="28"/>
          <w:szCs w:val="28"/>
          <w:highlight w:val="none"/>
        </w:rPr>
      </w:pPr>
      <w:r>
        <w:rPr>
          <w:rFonts w:hint="eastAsia" w:hAnsi="宋体" w:cs="宋体"/>
          <w:color w:val="auto"/>
          <w:sz w:val="28"/>
          <w:szCs w:val="28"/>
          <w:highlight w:val="none"/>
        </w:rPr>
        <w:t>被委托授权人无转委权。特此委托。</w:t>
      </w:r>
    </w:p>
    <w:p>
      <w:pPr>
        <w:pStyle w:val="12"/>
        <w:snapToGrid w:val="0"/>
        <w:spacing w:line="300" w:lineRule="auto"/>
        <w:ind w:firstLine="420"/>
        <w:contextualSpacing/>
        <w:rPr>
          <w:rFonts w:hAnsi="宋体" w:cs="宋体"/>
          <w:color w:val="auto"/>
          <w:sz w:val="28"/>
          <w:szCs w:val="28"/>
          <w:highlight w:val="none"/>
        </w:rPr>
      </w:pPr>
    </w:p>
    <w:p>
      <w:pPr>
        <w:pStyle w:val="12"/>
        <w:snapToGrid w:val="0"/>
        <w:spacing w:line="300" w:lineRule="auto"/>
        <w:ind w:firstLine="420"/>
        <w:contextualSpacing/>
        <w:rPr>
          <w:rFonts w:hAnsi="宋体" w:cs="宋体"/>
          <w:color w:val="auto"/>
          <w:sz w:val="28"/>
          <w:szCs w:val="28"/>
          <w:highlight w:val="none"/>
        </w:rPr>
      </w:pPr>
      <w:r>
        <w:rPr>
          <w:rFonts w:hint="eastAsia" w:hAnsi="宋体" w:cs="宋体"/>
          <w:color w:val="auto"/>
          <w:sz w:val="28"/>
          <w:szCs w:val="28"/>
          <w:highlight w:val="none"/>
        </w:rPr>
        <w:t>被委托授权人身份证号：</w:t>
      </w:r>
    </w:p>
    <w:p>
      <w:pPr>
        <w:snapToGrid w:val="0"/>
        <w:spacing w:line="300" w:lineRule="auto"/>
        <w:ind w:firstLine="420" w:firstLineChars="150"/>
        <w:contextualSpacing/>
        <w:rPr>
          <w:rFonts w:ascii="宋体" w:hAnsi="宋体" w:cs="宋体"/>
          <w:color w:val="auto"/>
          <w:sz w:val="28"/>
          <w:szCs w:val="28"/>
          <w:highlight w:val="none"/>
        </w:rPr>
      </w:pPr>
    </w:p>
    <w:p>
      <w:pPr>
        <w:snapToGrid w:val="0"/>
        <w:spacing w:line="300" w:lineRule="auto"/>
        <w:ind w:firstLine="420" w:firstLineChars="150"/>
        <w:contextualSpacing/>
        <w:rPr>
          <w:rFonts w:ascii="宋体" w:hAnsi="宋体" w:cs="宋体"/>
          <w:color w:val="auto"/>
          <w:sz w:val="28"/>
          <w:szCs w:val="28"/>
          <w:highlight w:val="none"/>
        </w:rPr>
      </w:pPr>
      <w:r>
        <w:rPr>
          <w:rFonts w:hint="eastAsia" w:ascii="宋体" w:hAnsi="宋体" w:cs="宋体"/>
          <w:color w:val="auto"/>
          <w:sz w:val="28"/>
          <w:szCs w:val="28"/>
          <w:highlight w:val="none"/>
        </w:rPr>
        <w:t>法定代表人签字：</w:t>
      </w:r>
    </w:p>
    <w:p>
      <w:pPr>
        <w:snapToGrid w:val="0"/>
        <w:spacing w:line="300" w:lineRule="auto"/>
        <w:ind w:firstLine="420" w:firstLineChars="150"/>
        <w:contextualSpacing/>
        <w:rPr>
          <w:rFonts w:ascii="宋体" w:hAnsi="宋体" w:cs="宋体"/>
          <w:color w:val="auto"/>
          <w:sz w:val="28"/>
          <w:szCs w:val="28"/>
          <w:highlight w:val="none"/>
        </w:rPr>
      </w:pPr>
    </w:p>
    <w:p>
      <w:pPr>
        <w:snapToGrid w:val="0"/>
        <w:spacing w:line="300" w:lineRule="auto"/>
        <w:ind w:firstLine="420" w:firstLineChars="150"/>
        <w:contextualSpacing/>
        <w:rPr>
          <w:rFonts w:ascii="宋体" w:hAnsi="宋体" w:cs="宋体"/>
          <w:color w:val="auto"/>
          <w:sz w:val="28"/>
          <w:szCs w:val="28"/>
          <w:highlight w:val="none"/>
        </w:rPr>
      </w:pPr>
      <w:r>
        <w:rPr>
          <w:rFonts w:hint="eastAsia" w:ascii="宋体" w:hAnsi="宋体" w:cs="宋体"/>
          <w:color w:val="auto"/>
          <w:sz w:val="28"/>
          <w:szCs w:val="28"/>
          <w:highlight w:val="none"/>
        </w:rPr>
        <w:t>被委托授权人签字：</w:t>
      </w:r>
    </w:p>
    <w:p>
      <w:pPr>
        <w:snapToGrid w:val="0"/>
        <w:spacing w:line="300" w:lineRule="auto"/>
        <w:ind w:firstLine="5180" w:firstLineChars="1850"/>
        <w:contextualSpacing/>
        <w:rPr>
          <w:rFonts w:ascii="宋体" w:hAnsi="宋体" w:cs="宋体"/>
          <w:color w:val="auto"/>
          <w:sz w:val="28"/>
          <w:szCs w:val="28"/>
          <w:highlight w:val="none"/>
        </w:rPr>
      </w:pPr>
      <w:r>
        <w:rPr>
          <w:rFonts w:hint="eastAsia" w:ascii="宋体" w:hAnsi="宋体" w:cs="宋体"/>
          <w:color w:val="auto"/>
          <w:sz w:val="28"/>
          <w:szCs w:val="28"/>
          <w:highlight w:val="none"/>
        </w:rPr>
        <w:t>响应供应商（盖章）</w:t>
      </w:r>
    </w:p>
    <w:p>
      <w:pPr>
        <w:snapToGrid w:val="0"/>
        <w:spacing w:line="300" w:lineRule="auto"/>
        <w:contextualSpacing/>
        <w:rPr>
          <w:rFonts w:ascii="宋体" w:hAnsi="宋体" w:cs="宋体"/>
          <w:color w:val="auto"/>
          <w:sz w:val="28"/>
          <w:szCs w:val="28"/>
          <w:highlight w:val="none"/>
        </w:rPr>
      </w:pPr>
    </w:p>
    <w:p>
      <w:pPr>
        <w:pStyle w:val="14"/>
        <w:snapToGrid w:val="0"/>
        <w:spacing w:line="300" w:lineRule="auto"/>
        <w:ind w:firstLine="5180" w:firstLineChars="1850"/>
        <w:contextualSpacing/>
        <w:rPr>
          <w:rFonts w:ascii="宋体" w:hAnsi="宋体" w:cs="宋体"/>
          <w:bCs/>
          <w:color w:val="auto"/>
          <w:sz w:val="28"/>
          <w:szCs w:val="28"/>
          <w:highlight w:val="none"/>
        </w:rPr>
      </w:pPr>
      <w:r>
        <w:rPr>
          <w:rFonts w:hint="eastAsia" w:ascii="宋体" w:hAnsi="宋体" w:cs="宋体"/>
          <w:bCs/>
          <w:color w:val="auto"/>
          <w:sz w:val="28"/>
          <w:szCs w:val="28"/>
          <w:highlight w:val="none"/>
        </w:rPr>
        <w:t>年    月    日</w:t>
      </w:r>
    </w:p>
    <w:p>
      <w:pPr>
        <w:pStyle w:val="12"/>
        <w:snapToGrid w:val="0"/>
        <w:spacing w:line="300" w:lineRule="auto"/>
        <w:ind w:firstLine="420"/>
        <w:contextualSpacing/>
        <w:rPr>
          <w:rFonts w:hAnsi="宋体" w:cs="宋体"/>
          <w:b/>
          <w:color w:val="auto"/>
          <w:sz w:val="36"/>
          <w:szCs w:val="36"/>
          <w:highlight w:val="none"/>
        </w:rPr>
        <w:sectPr>
          <w:pgSz w:w="11907" w:h="16839"/>
          <w:pgMar w:top="1440" w:right="726" w:bottom="873" w:left="1236" w:header="720" w:footer="720" w:gutter="0"/>
          <w:cols w:space="720" w:num="1"/>
          <w:docGrid w:linePitch="286" w:charSpace="0"/>
        </w:sectPr>
      </w:pPr>
      <w:r>
        <w:rPr>
          <w:rFonts w:hint="eastAsia" w:hAnsi="宋体" w:cs="宋体"/>
          <w:b/>
          <w:color w:val="auto"/>
          <w:sz w:val="28"/>
          <w:szCs w:val="28"/>
          <w:highlight w:val="none"/>
        </w:rPr>
        <w:t>注：提供被委托授权人的身份证复印件盖公章</w:t>
      </w:r>
    </w:p>
    <w:p>
      <w:pPr>
        <w:spacing w:line="360" w:lineRule="auto"/>
        <w:jc w:val="center"/>
        <w:outlineLvl w:val="2"/>
        <w:rPr>
          <w:rFonts w:ascii="宋体" w:hAnsi="宋体" w:cs="宋体"/>
          <w:b/>
          <w:color w:val="auto"/>
          <w:sz w:val="24"/>
          <w:highlight w:val="none"/>
        </w:rPr>
      </w:pPr>
      <w:r>
        <w:rPr>
          <w:rFonts w:hint="eastAsia" w:ascii="宋体" w:hAnsi="宋体" w:cs="宋体"/>
          <w:b/>
          <w:color w:val="auto"/>
          <w:sz w:val="28"/>
          <w:highlight w:val="none"/>
        </w:rPr>
        <w:t>四、具备履行合同所必需的设备和专业技术能力的书面声明</w:t>
      </w:r>
    </w:p>
    <w:p>
      <w:pPr>
        <w:snapToGrid w:val="0"/>
        <w:spacing w:line="360" w:lineRule="auto"/>
        <w:ind w:firstLine="480" w:firstLineChars="200"/>
        <w:rPr>
          <w:rFonts w:ascii="宋体" w:hAnsi="宋体" w:cs="宋体"/>
          <w:color w:val="auto"/>
          <w:sz w:val="24"/>
          <w:highlight w:val="none"/>
        </w:rPr>
      </w:pPr>
    </w:p>
    <w:p>
      <w:pPr>
        <w:snapToGrid w:val="0"/>
        <w:spacing w:line="300" w:lineRule="auto"/>
        <w:contextualSpacing/>
        <w:rPr>
          <w:rFonts w:ascii="宋体" w:hAnsi="宋体" w:cs="宋体"/>
          <w:b/>
          <w:color w:val="auto"/>
          <w:sz w:val="24"/>
          <w:highlight w:val="none"/>
        </w:rPr>
      </w:pPr>
      <w:r>
        <w:rPr>
          <w:rFonts w:hint="eastAsia" w:ascii="宋体" w:hAnsi="宋体" w:cs="宋体"/>
          <w:b/>
          <w:color w:val="auto"/>
          <w:sz w:val="28"/>
          <w:szCs w:val="28"/>
          <w:highlight w:val="none"/>
        </w:rPr>
        <w:t>南通市第二中学：</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我单位（投标单位名称）郑重承诺：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贵方组织的(项目名称），我单位(在下划线上如实填写：有或没有）履行合同所必需的设备和专业技术能力。</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p>
    <w:p>
      <w:pPr>
        <w:snapToGrid w:val="0"/>
        <w:spacing w:line="480" w:lineRule="auto"/>
        <w:ind w:right="720" w:firstLine="480" w:firstLineChars="200"/>
        <w:contextualSpacing/>
        <w:jc w:val="right"/>
        <w:rPr>
          <w:rFonts w:ascii="宋体" w:hAnsi="宋体" w:cs="宋体"/>
          <w:color w:val="auto"/>
          <w:sz w:val="24"/>
          <w:highlight w:val="none"/>
        </w:rPr>
      </w:pPr>
      <w:r>
        <w:rPr>
          <w:rFonts w:hint="eastAsia" w:ascii="宋体" w:hAnsi="宋体" w:cs="宋体"/>
          <w:color w:val="auto"/>
          <w:sz w:val="24"/>
          <w:highlight w:val="none"/>
        </w:rPr>
        <w:t>法人或委托授权人签字：</w:t>
      </w:r>
    </w:p>
    <w:p>
      <w:pPr>
        <w:snapToGrid w:val="0"/>
        <w:spacing w:line="480" w:lineRule="auto"/>
        <w:ind w:right="720" w:firstLine="480" w:firstLineChars="200"/>
        <w:contextualSpacing/>
        <w:jc w:val="right"/>
        <w:rPr>
          <w:rFonts w:ascii="宋体" w:hAnsi="宋体" w:cs="宋体"/>
          <w:color w:val="auto"/>
          <w:sz w:val="24"/>
          <w:highlight w:val="none"/>
        </w:rPr>
      </w:pPr>
      <w:r>
        <w:rPr>
          <w:rFonts w:hint="eastAsia" w:ascii="宋体" w:hAnsi="宋体" w:cs="宋体"/>
          <w:color w:val="auto"/>
          <w:sz w:val="24"/>
          <w:highlight w:val="none"/>
        </w:rPr>
        <w:t>供应商名称（盖章）：</w:t>
      </w:r>
    </w:p>
    <w:p>
      <w:pPr>
        <w:snapToGrid w:val="0"/>
        <w:spacing w:line="480" w:lineRule="auto"/>
        <w:ind w:right="720" w:firstLine="480" w:firstLineChars="200"/>
        <w:contextualSpacing/>
        <w:jc w:val="right"/>
        <w:rPr>
          <w:rFonts w:ascii="宋体" w:hAnsi="宋体" w:cs="宋体"/>
          <w:color w:val="auto"/>
          <w:sz w:val="24"/>
          <w:highlight w:val="none"/>
        </w:rPr>
      </w:pPr>
      <w:r>
        <w:rPr>
          <w:rFonts w:hint="eastAsia" w:ascii="宋体" w:hAnsi="宋体" w:cs="宋体"/>
          <w:color w:val="auto"/>
          <w:sz w:val="24"/>
          <w:highlight w:val="none"/>
        </w:rPr>
        <w:t>时间：</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p>
    <w:p>
      <w:pPr>
        <w:spacing w:line="480" w:lineRule="auto"/>
        <w:ind w:firstLine="200"/>
        <w:rPr>
          <w:rFonts w:ascii="宋体" w:hAnsi="宋体" w:cs="宋体"/>
          <w:color w:val="auto"/>
          <w:sz w:val="24"/>
          <w:highlight w:val="none"/>
        </w:rPr>
        <w:sectPr>
          <w:pgSz w:w="11906" w:h="16838"/>
          <w:pgMar w:top="1440" w:right="1274" w:bottom="1402" w:left="1800" w:header="851" w:footer="992" w:gutter="0"/>
          <w:cols w:space="720" w:num="1"/>
          <w:docGrid w:type="lines" w:linePitch="312" w:charSpace="0"/>
        </w:sectPr>
      </w:pPr>
    </w:p>
    <w:p>
      <w:pPr>
        <w:spacing w:line="360" w:lineRule="auto"/>
        <w:jc w:val="center"/>
        <w:outlineLvl w:val="2"/>
        <w:rPr>
          <w:rFonts w:ascii="宋体" w:hAnsi="宋体" w:cs="宋体"/>
          <w:b/>
          <w:color w:val="auto"/>
          <w:sz w:val="28"/>
          <w:highlight w:val="none"/>
        </w:rPr>
      </w:pPr>
      <w:r>
        <w:rPr>
          <w:rFonts w:hint="eastAsia" w:ascii="宋体" w:hAnsi="宋体" w:cs="宋体"/>
          <w:b/>
          <w:color w:val="auto"/>
          <w:sz w:val="28"/>
          <w:highlight w:val="none"/>
        </w:rPr>
        <w:t>五、无重大违法记录声明</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我公司郑重声明：参加本次政府采购活动前 3 年内，我公司在经营活动中没有因违法经营受到刑事处罚或者责令停产停业、吊销许可证或者执照、较大数额罚款等行政处罚。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360" w:lineRule="auto"/>
        <w:ind w:firstLine="200"/>
        <w:rPr>
          <w:rFonts w:ascii="宋体" w:hAnsi="宋体" w:cs="宋体"/>
          <w:color w:val="auto"/>
          <w:sz w:val="24"/>
          <w:highlight w:val="none"/>
        </w:rPr>
      </w:pPr>
    </w:p>
    <w:p>
      <w:pPr>
        <w:snapToGrid w:val="0"/>
        <w:spacing w:line="480" w:lineRule="auto"/>
        <w:ind w:right="720" w:firstLine="480" w:firstLineChars="200"/>
        <w:contextualSpacing/>
        <w:jc w:val="right"/>
        <w:rPr>
          <w:rFonts w:ascii="宋体" w:hAnsi="宋体" w:cs="宋体"/>
          <w:color w:val="auto"/>
          <w:sz w:val="24"/>
          <w:highlight w:val="none"/>
        </w:rPr>
      </w:pPr>
      <w:r>
        <w:rPr>
          <w:rFonts w:hint="eastAsia" w:ascii="宋体" w:hAnsi="宋体" w:cs="宋体"/>
          <w:color w:val="auto"/>
          <w:sz w:val="24"/>
          <w:highlight w:val="none"/>
        </w:rPr>
        <w:t>法人或委托授权人签字：</w:t>
      </w:r>
    </w:p>
    <w:p>
      <w:pPr>
        <w:snapToGrid w:val="0"/>
        <w:spacing w:line="480" w:lineRule="auto"/>
        <w:ind w:right="720" w:firstLine="480" w:firstLineChars="200"/>
        <w:contextualSpacing/>
        <w:jc w:val="right"/>
        <w:rPr>
          <w:rFonts w:ascii="宋体" w:hAnsi="宋体" w:cs="宋体"/>
          <w:color w:val="auto"/>
          <w:sz w:val="24"/>
          <w:highlight w:val="none"/>
        </w:rPr>
      </w:pPr>
      <w:r>
        <w:rPr>
          <w:rFonts w:hint="eastAsia" w:ascii="宋体" w:hAnsi="宋体" w:cs="宋体"/>
          <w:color w:val="auto"/>
          <w:sz w:val="24"/>
          <w:highlight w:val="none"/>
        </w:rPr>
        <w:t>供应商名称（盖章）：</w:t>
      </w:r>
    </w:p>
    <w:p>
      <w:pPr>
        <w:snapToGrid w:val="0"/>
        <w:spacing w:line="480" w:lineRule="auto"/>
        <w:ind w:right="720" w:firstLine="480" w:firstLineChars="200"/>
        <w:contextualSpacing/>
        <w:jc w:val="right"/>
        <w:rPr>
          <w:rFonts w:ascii="宋体" w:hAnsi="宋体" w:cs="宋体"/>
          <w:color w:val="auto"/>
          <w:sz w:val="24"/>
          <w:highlight w:val="none"/>
        </w:rPr>
      </w:pPr>
      <w:r>
        <w:rPr>
          <w:rFonts w:hint="eastAsia" w:ascii="宋体" w:hAnsi="宋体" w:cs="宋体"/>
          <w:color w:val="auto"/>
          <w:sz w:val="24"/>
          <w:highlight w:val="none"/>
        </w:rPr>
        <w:t>时间：</w:t>
      </w:r>
    </w:p>
    <w:p>
      <w:pPr>
        <w:snapToGrid w:val="0"/>
        <w:spacing w:line="420" w:lineRule="exact"/>
        <w:jc w:val="center"/>
        <w:outlineLvl w:val="3"/>
        <w:rPr>
          <w:rFonts w:ascii="宋体" w:hAnsi="宋体" w:cs="宋体"/>
          <w:b/>
          <w:color w:val="auto"/>
          <w:sz w:val="36"/>
          <w:szCs w:val="36"/>
          <w:highlight w:val="none"/>
        </w:rPr>
      </w:pPr>
    </w:p>
    <w:p>
      <w:pPr>
        <w:snapToGrid w:val="0"/>
        <w:spacing w:line="420" w:lineRule="exact"/>
        <w:jc w:val="center"/>
        <w:outlineLvl w:val="3"/>
        <w:rPr>
          <w:rFonts w:ascii="宋体" w:hAnsi="宋体" w:cs="宋体"/>
          <w:b/>
          <w:color w:val="auto"/>
          <w:sz w:val="36"/>
          <w:szCs w:val="36"/>
          <w:highlight w:val="none"/>
        </w:rPr>
      </w:pPr>
    </w:p>
    <w:p>
      <w:pPr>
        <w:snapToGrid w:val="0"/>
        <w:spacing w:line="420" w:lineRule="exact"/>
        <w:jc w:val="center"/>
        <w:outlineLvl w:val="3"/>
        <w:rPr>
          <w:rFonts w:ascii="宋体" w:hAnsi="宋体" w:cs="宋体"/>
          <w:b/>
          <w:color w:val="auto"/>
          <w:sz w:val="36"/>
          <w:szCs w:val="36"/>
          <w:highlight w:val="none"/>
        </w:rPr>
      </w:pPr>
    </w:p>
    <w:p>
      <w:pPr>
        <w:snapToGrid w:val="0"/>
        <w:spacing w:line="420" w:lineRule="exact"/>
        <w:jc w:val="center"/>
        <w:outlineLvl w:val="3"/>
        <w:rPr>
          <w:rFonts w:ascii="宋体" w:hAnsi="宋体" w:cs="宋体"/>
          <w:b/>
          <w:color w:val="auto"/>
          <w:sz w:val="36"/>
          <w:szCs w:val="36"/>
          <w:highlight w:val="none"/>
        </w:rPr>
      </w:pPr>
    </w:p>
    <w:p>
      <w:pPr>
        <w:snapToGrid w:val="0"/>
        <w:spacing w:line="420" w:lineRule="exact"/>
        <w:jc w:val="center"/>
        <w:outlineLvl w:val="3"/>
        <w:rPr>
          <w:rFonts w:ascii="宋体" w:hAnsi="宋体" w:cs="宋体"/>
          <w:b/>
          <w:color w:val="auto"/>
          <w:sz w:val="36"/>
          <w:szCs w:val="36"/>
          <w:highlight w:val="none"/>
        </w:rPr>
      </w:pPr>
    </w:p>
    <w:p>
      <w:pPr>
        <w:snapToGrid w:val="0"/>
        <w:spacing w:line="420" w:lineRule="exact"/>
        <w:jc w:val="center"/>
        <w:outlineLvl w:val="3"/>
        <w:rPr>
          <w:rFonts w:ascii="宋体" w:hAnsi="宋体" w:cs="宋体"/>
          <w:b/>
          <w:color w:val="auto"/>
          <w:sz w:val="36"/>
          <w:szCs w:val="36"/>
          <w:highlight w:val="none"/>
        </w:rPr>
      </w:pPr>
    </w:p>
    <w:p>
      <w:pPr>
        <w:snapToGrid w:val="0"/>
        <w:spacing w:line="420" w:lineRule="exact"/>
        <w:jc w:val="center"/>
        <w:outlineLvl w:val="3"/>
        <w:rPr>
          <w:rFonts w:ascii="宋体" w:hAnsi="宋体" w:cs="宋体"/>
          <w:b/>
          <w:color w:val="auto"/>
          <w:sz w:val="36"/>
          <w:szCs w:val="36"/>
          <w:highlight w:val="none"/>
        </w:rPr>
      </w:pPr>
    </w:p>
    <w:p>
      <w:pPr>
        <w:snapToGrid w:val="0"/>
        <w:spacing w:line="420" w:lineRule="exact"/>
        <w:jc w:val="center"/>
        <w:outlineLvl w:val="3"/>
        <w:rPr>
          <w:rFonts w:ascii="宋体" w:hAnsi="宋体" w:cs="宋体"/>
          <w:b/>
          <w:color w:val="auto"/>
          <w:sz w:val="36"/>
          <w:szCs w:val="36"/>
          <w:highlight w:val="none"/>
        </w:rPr>
      </w:pPr>
    </w:p>
    <w:p>
      <w:pPr>
        <w:snapToGrid w:val="0"/>
        <w:spacing w:line="420" w:lineRule="exact"/>
        <w:jc w:val="center"/>
        <w:outlineLvl w:val="3"/>
        <w:rPr>
          <w:rFonts w:ascii="宋体" w:hAnsi="宋体" w:cs="宋体"/>
          <w:b/>
          <w:color w:val="auto"/>
          <w:sz w:val="36"/>
          <w:szCs w:val="36"/>
          <w:highlight w:val="none"/>
        </w:rPr>
      </w:pPr>
    </w:p>
    <w:p>
      <w:pPr>
        <w:snapToGrid w:val="0"/>
        <w:spacing w:line="420" w:lineRule="exact"/>
        <w:jc w:val="center"/>
        <w:outlineLvl w:val="3"/>
        <w:rPr>
          <w:rFonts w:ascii="宋体" w:hAnsi="宋体" w:cs="宋体"/>
          <w:b/>
          <w:color w:val="auto"/>
          <w:sz w:val="36"/>
          <w:szCs w:val="36"/>
          <w:highlight w:val="none"/>
        </w:rPr>
      </w:pPr>
    </w:p>
    <w:p>
      <w:pPr>
        <w:snapToGrid w:val="0"/>
        <w:spacing w:line="420" w:lineRule="exact"/>
        <w:jc w:val="center"/>
        <w:outlineLvl w:val="3"/>
        <w:rPr>
          <w:rFonts w:ascii="宋体" w:hAnsi="宋体" w:cs="宋体"/>
          <w:b/>
          <w:color w:val="auto"/>
          <w:sz w:val="36"/>
          <w:szCs w:val="36"/>
          <w:highlight w:val="none"/>
        </w:rPr>
      </w:pPr>
    </w:p>
    <w:p>
      <w:pPr>
        <w:snapToGrid w:val="0"/>
        <w:spacing w:line="420" w:lineRule="exact"/>
        <w:jc w:val="center"/>
        <w:outlineLvl w:val="3"/>
        <w:rPr>
          <w:rFonts w:ascii="宋体" w:hAnsi="宋体" w:cs="宋体"/>
          <w:b/>
          <w:color w:val="auto"/>
          <w:sz w:val="36"/>
          <w:szCs w:val="36"/>
          <w:highlight w:val="none"/>
        </w:rPr>
      </w:pPr>
    </w:p>
    <w:p>
      <w:pPr>
        <w:snapToGrid w:val="0"/>
        <w:spacing w:line="420" w:lineRule="exact"/>
        <w:jc w:val="center"/>
        <w:outlineLvl w:val="3"/>
        <w:rPr>
          <w:rFonts w:ascii="宋体" w:hAnsi="宋体" w:cs="宋体"/>
          <w:b/>
          <w:color w:val="auto"/>
          <w:sz w:val="36"/>
          <w:szCs w:val="36"/>
          <w:highlight w:val="none"/>
        </w:rPr>
      </w:pPr>
    </w:p>
    <w:p>
      <w:pPr>
        <w:spacing w:line="360" w:lineRule="auto"/>
        <w:jc w:val="center"/>
        <w:outlineLvl w:val="2"/>
        <w:rPr>
          <w:rFonts w:ascii="宋体" w:hAnsi="宋体" w:cs="宋体"/>
          <w:bCs/>
          <w:color w:val="auto"/>
          <w:sz w:val="28"/>
          <w:highlight w:val="none"/>
          <w:lang w:val="zh-CN"/>
        </w:rPr>
      </w:pPr>
    </w:p>
    <w:p>
      <w:pPr>
        <w:spacing w:line="360" w:lineRule="auto"/>
        <w:jc w:val="center"/>
        <w:outlineLvl w:val="2"/>
        <w:rPr>
          <w:rFonts w:ascii="宋体" w:hAnsi="宋体" w:cs="宋体"/>
          <w:bCs/>
          <w:color w:val="auto"/>
          <w:sz w:val="28"/>
          <w:highlight w:val="none"/>
          <w:lang w:val="zh-CN"/>
        </w:rPr>
      </w:pPr>
    </w:p>
    <w:p>
      <w:pPr>
        <w:spacing w:line="360" w:lineRule="auto"/>
        <w:jc w:val="center"/>
        <w:outlineLvl w:val="2"/>
        <w:rPr>
          <w:rFonts w:ascii="宋体" w:hAnsi="宋体" w:cs="宋体"/>
          <w:bCs/>
          <w:color w:val="auto"/>
          <w:sz w:val="28"/>
          <w:highlight w:val="none"/>
          <w:lang w:val="zh-CN"/>
        </w:rPr>
      </w:pPr>
    </w:p>
    <w:p>
      <w:pPr>
        <w:spacing w:line="360" w:lineRule="auto"/>
        <w:jc w:val="center"/>
        <w:outlineLvl w:val="2"/>
        <w:rPr>
          <w:rFonts w:ascii="宋体" w:hAnsi="宋体" w:cs="宋体"/>
          <w:bCs/>
          <w:color w:val="auto"/>
          <w:sz w:val="28"/>
          <w:highlight w:val="none"/>
          <w:lang w:val="zh-CN"/>
        </w:rPr>
      </w:pPr>
    </w:p>
    <w:p>
      <w:pPr>
        <w:spacing w:line="360" w:lineRule="auto"/>
        <w:jc w:val="center"/>
        <w:outlineLvl w:val="2"/>
        <w:rPr>
          <w:rFonts w:ascii="宋体" w:hAnsi="宋体" w:cs="宋体"/>
          <w:bCs/>
          <w:color w:val="auto"/>
          <w:sz w:val="28"/>
          <w:highlight w:val="none"/>
          <w:lang w:val="zh-CN"/>
        </w:rPr>
      </w:pPr>
    </w:p>
    <w:p>
      <w:pPr>
        <w:spacing w:line="360" w:lineRule="auto"/>
        <w:jc w:val="center"/>
        <w:outlineLvl w:val="2"/>
        <w:rPr>
          <w:rFonts w:ascii="宋体" w:hAnsi="宋体" w:cs="宋体"/>
          <w:bCs/>
          <w:color w:val="auto"/>
          <w:sz w:val="28"/>
          <w:highlight w:val="none"/>
          <w:lang w:val="zh-CN"/>
        </w:rPr>
      </w:pPr>
    </w:p>
    <w:p>
      <w:pPr>
        <w:spacing w:line="360" w:lineRule="auto"/>
        <w:jc w:val="center"/>
        <w:outlineLvl w:val="2"/>
        <w:rPr>
          <w:rFonts w:ascii="宋体" w:hAnsi="宋体" w:cs="宋体"/>
          <w:b/>
          <w:color w:val="auto"/>
          <w:sz w:val="28"/>
          <w:highlight w:val="none"/>
        </w:rPr>
      </w:pPr>
      <w:r>
        <w:rPr>
          <w:rFonts w:hint="eastAsia" w:ascii="宋体" w:hAnsi="宋体" w:cs="宋体"/>
          <w:bCs/>
          <w:color w:val="auto"/>
          <w:sz w:val="28"/>
          <w:highlight w:val="none"/>
          <w:lang w:val="zh-CN"/>
        </w:rPr>
        <w:t>六、</w:t>
      </w:r>
      <w:r>
        <w:rPr>
          <w:rFonts w:hint="eastAsia" w:ascii="宋体" w:hAnsi="宋体" w:cs="宋体"/>
          <w:b/>
          <w:color w:val="auto"/>
          <w:sz w:val="28"/>
          <w:highlight w:val="none"/>
          <w:lang w:val="zh-CN"/>
        </w:rPr>
        <w:t>主要配件报价表</w:t>
      </w:r>
    </w:p>
    <w:p>
      <w:pPr>
        <w:snapToGrid w:val="0"/>
        <w:spacing w:line="440" w:lineRule="atLeast"/>
        <w:rPr>
          <w:rFonts w:ascii="宋体" w:hAnsi="宋体" w:cs="宋体"/>
          <w:color w:val="auto"/>
          <w:sz w:val="28"/>
          <w:highlight w:val="none"/>
          <w:u w:val="single"/>
        </w:rPr>
      </w:pPr>
      <w:r>
        <w:rPr>
          <w:rFonts w:hint="eastAsia" w:ascii="宋体" w:hAnsi="宋体" w:cs="宋体"/>
          <w:color w:val="auto"/>
          <w:sz w:val="24"/>
          <w:highlight w:val="none"/>
        </w:rPr>
        <w:t>项目名称：</w:t>
      </w:r>
    </w:p>
    <w:p>
      <w:pPr>
        <w:snapToGrid w:val="0"/>
        <w:spacing w:line="420" w:lineRule="exact"/>
        <w:jc w:val="center"/>
        <w:outlineLvl w:val="3"/>
        <w:rPr>
          <w:rFonts w:ascii="宋体" w:hAnsi="宋体" w:cs="宋体"/>
          <w:b/>
          <w:color w:val="auto"/>
          <w:sz w:val="36"/>
          <w:szCs w:val="36"/>
          <w:highlight w:val="none"/>
        </w:rPr>
      </w:pPr>
    </w:p>
    <w:tbl>
      <w:tblPr>
        <w:tblStyle w:val="21"/>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1581"/>
        <w:gridCol w:w="1276"/>
        <w:gridCol w:w="1134"/>
        <w:gridCol w:w="1134"/>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品   名</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型  号</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品牌</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最高限价（元）</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折扣报价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压缩机（变频）</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E405D</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3745</w:t>
            </w:r>
          </w:p>
        </w:tc>
        <w:tc>
          <w:tcPr>
            <w:tcW w:w="1324" w:type="dxa"/>
            <w:vMerge w:val="restart"/>
            <w:tcBorders>
              <w:top w:val="single" w:color="auto" w:sz="4" w:space="0"/>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压缩机（变频）</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E655D</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5980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压缩机（变频）</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E705D</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7400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压缩机（定频）</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E655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3730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压缩机（定频）</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2匹</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620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压缩机（定频）</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3匹</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1000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压缩机（定频）</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5匹</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2570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压缩机（定频）</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10匹</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生能</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3570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风机马达（外机）</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直流</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1960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风机马达（外机）</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交流</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1680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变频P板（风扇）</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15A</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780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变频P板（压缩机）</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35A</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2950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变频P板（压缩机）</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50A</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3670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控制P板（外机）</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HP≤16</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2140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控制P板（外机）</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HP≥18</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2380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控制P板（外机）</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全系</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生能</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680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滤波P板（外机）</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全系列</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1580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电源P板（外机）</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全系列</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590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控制P板（内机）</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全系列</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540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遥控器</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RM05/BG</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85</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遥控接收器</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95</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冷媒</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R22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公斤</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40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冷媒</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R410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公斤</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60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节流部件</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全系列</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600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压力传感器</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全系列</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420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油分离器</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全系列</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700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气分离器</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全系列</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1380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内机排水泵</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全系列</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美的</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220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空气能水泵</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2550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空气能线控器</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生能</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810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空气能水侧换热器</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生能</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4640</w:t>
            </w:r>
          </w:p>
        </w:tc>
        <w:tc>
          <w:tcPr>
            <w:tcW w:w="1324" w:type="dxa"/>
            <w:vMerge w:val="continue"/>
            <w:tcBorders>
              <w:lef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热力膨胀阀</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全系</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1120</w:t>
            </w:r>
          </w:p>
        </w:tc>
        <w:tc>
          <w:tcPr>
            <w:tcW w:w="1324" w:type="dxa"/>
            <w:vMerge w:val="continue"/>
            <w:tcBorders>
              <w:left w:val="single" w:color="auto" w:sz="4" w:space="0"/>
              <w:bottom w:val="single" w:color="auto" w:sz="4" w:space="0"/>
            </w:tcBorders>
            <w:vAlign w:val="center"/>
          </w:tcPr>
          <w:p>
            <w:pPr>
              <w:adjustRightInd w:val="0"/>
              <w:snapToGrid w:val="0"/>
              <w:spacing w:line="36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9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color w:val="auto"/>
                <w:kern w:val="0"/>
                <w:szCs w:val="21"/>
                <w:highlight w:val="none"/>
              </w:rPr>
            </w:pPr>
            <w:r>
              <w:rPr>
                <w:rFonts w:hint="eastAsia" w:ascii="宋体" w:cs="宋体"/>
                <w:b/>
                <w:bCs/>
                <w:color w:val="auto"/>
                <w:kern w:val="0"/>
                <w:szCs w:val="21"/>
                <w:highlight w:val="none"/>
              </w:rPr>
              <w:t>注：该配件报价为一次性报价，现场不再报价。报价不得高于最高限价，否则作废标处理，且报价三年不变。如无此报价表，也按废标处理。</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color w:val="auto"/>
                <w:kern w:val="0"/>
                <w:szCs w:val="21"/>
                <w:highlight w:val="none"/>
              </w:rPr>
            </w:pPr>
          </w:p>
        </w:tc>
      </w:tr>
    </w:tbl>
    <w:p>
      <w:pPr>
        <w:snapToGrid w:val="0"/>
        <w:spacing w:line="420" w:lineRule="exact"/>
        <w:outlineLvl w:val="3"/>
        <w:rPr>
          <w:rFonts w:ascii="宋体" w:hAnsi="宋体" w:cs="宋体"/>
          <w:b/>
          <w:color w:val="auto"/>
          <w:sz w:val="28"/>
          <w:highlight w:val="none"/>
          <w:lang w:val="zh-CN"/>
        </w:rPr>
      </w:pPr>
      <w:r>
        <w:rPr>
          <w:rFonts w:hint="eastAsia" w:ascii="宋体" w:hAnsi="宋体" w:cs="宋体"/>
          <w:b/>
          <w:color w:val="auto"/>
          <w:sz w:val="28"/>
          <w:highlight w:val="none"/>
          <w:lang w:val="zh-CN"/>
        </w:rPr>
        <w:t>根据</w:t>
      </w:r>
      <w:r>
        <w:rPr>
          <w:rFonts w:hint="eastAsia" w:ascii="宋体" w:hAnsi="宋体" w:cs="宋体"/>
          <w:b/>
          <w:color w:val="auto"/>
          <w:sz w:val="28"/>
          <w:highlight w:val="none"/>
        </w:rPr>
        <w:t>报价</w:t>
      </w:r>
      <w:r>
        <w:rPr>
          <w:rFonts w:hint="eastAsia" w:ascii="宋体" w:hAnsi="宋体" w:cs="宋体"/>
          <w:b/>
          <w:color w:val="auto"/>
          <w:sz w:val="28"/>
          <w:highlight w:val="none"/>
          <w:lang w:val="zh-CN"/>
        </w:rPr>
        <w:t>折扣计算配件得分：</w:t>
      </w:r>
    </w:p>
    <w:p>
      <w:pPr>
        <w:rPr>
          <w:color w:val="auto"/>
          <w:highlight w:val="none"/>
          <w:lang w:val="zh-CN"/>
        </w:rPr>
      </w:pPr>
    </w:p>
    <w:p>
      <w:pPr>
        <w:snapToGrid w:val="0"/>
        <w:spacing w:line="420" w:lineRule="exact"/>
        <w:ind w:firstLine="560" w:firstLineChars="200"/>
        <w:jc w:val="left"/>
        <w:outlineLvl w:val="3"/>
        <w:rPr>
          <w:rFonts w:ascii="宋体" w:hAnsi="宋体" w:cs="宋体"/>
          <w:color w:val="auto"/>
          <w:sz w:val="28"/>
          <w:szCs w:val="28"/>
          <w:highlight w:val="none"/>
        </w:rPr>
      </w:pPr>
      <w:r>
        <w:rPr>
          <w:rFonts w:hint="eastAsia" w:ascii="宋体" w:hAnsi="宋体" w:cs="宋体"/>
          <w:color w:val="auto"/>
          <w:sz w:val="28"/>
          <w:szCs w:val="28"/>
          <w:highlight w:val="none"/>
        </w:rPr>
        <w:t xml:space="preserve">供应商：（盖章）             </w:t>
      </w:r>
    </w:p>
    <w:p>
      <w:pPr>
        <w:snapToGrid w:val="0"/>
        <w:spacing w:line="420" w:lineRule="exact"/>
        <w:ind w:firstLine="560" w:firstLineChars="200"/>
        <w:jc w:val="left"/>
        <w:outlineLvl w:val="3"/>
        <w:rPr>
          <w:rFonts w:ascii="宋体" w:hAnsi="宋体" w:cs="宋体"/>
          <w:color w:val="auto"/>
          <w:sz w:val="28"/>
          <w:szCs w:val="28"/>
          <w:highlight w:val="none"/>
        </w:rPr>
      </w:pPr>
    </w:p>
    <w:p>
      <w:pPr>
        <w:snapToGrid w:val="0"/>
        <w:spacing w:line="420" w:lineRule="exact"/>
        <w:ind w:firstLine="560" w:firstLineChars="200"/>
        <w:jc w:val="left"/>
        <w:outlineLvl w:val="3"/>
        <w:rPr>
          <w:rFonts w:ascii="宋体" w:hAnsi="宋体" w:cs="宋体"/>
          <w:color w:val="auto"/>
          <w:sz w:val="28"/>
          <w:szCs w:val="28"/>
          <w:highlight w:val="none"/>
        </w:rPr>
      </w:pPr>
      <w:r>
        <w:rPr>
          <w:rFonts w:hint="eastAsia" w:ascii="宋体" w:hAnsi="宋体" w:cs="宋体"/>
          <w:color w:val="auto"/>
          <w:sz w:val="28"/>
          <w:szCs w:val="28"/>
          <w:highlight w:val="none"/>
        </w:rPr>
        <w:t>法定代表人或被委托受权人（签字）：</w:t>
      </w:r>
    </w:p>
    <w:p>
      <w:pPr>
        <w:snapToGrid w:val="0"/>
        <w:spacing w:line="420" w:lineRule="exact"/>
        <w:ind w:firstLine="560" w:firstLineChars="200"/>
        <w:jc w:val="left"/>
        <w:outlineLvl w:val="3"/>
        <w:rPr>
          <w:rFonts w:ascii="宋体" w:hAnsi="宋体" w:cs="宋体"/>
          <w:color w:val="auto"/>
          <w:sz w:val="28"/>
          <w:szCs w:val="28"/>
          <w:highlight w:val="none"/>
        </w:rPr>
      </w:pPr>
    </w:p>
    <w:p>
      <w:pPr>
        <w:snapToGrid w:val="0"/>
        <w:spacing w:line="420" w:lineRule="exact"/>
        <w:ind w:firstLine="560" w:firstLineChars="200"/>
        <w:jc w:val="left"/>
        <w:outlineLvl w:val="3"/>
        <w:rPr>
          <w:rFonts w:ascii="宋体" w:hAnsi="宋体" w:cs="宋体"/>
          <w:color w:val="auto"/>
          <w:sz w:val="28"/>
          <w:szCs w:val="28"/>
          <w:highlight w:val="none"/>
        </w:rPr>
      </w:pPr>
      <w:r>
        <w:rPr>
          <w:rFonts w:hint="eastAsia" w:ascii="宋体" w:hAnsi="宋体" w:cs="宋体"/>
          <w:color w:val="auto"/>
          <w:sz w:val="28"/>
          <w:szCs w:val="28"/>
          <w:highlight w:val="none"/>
        </w:rPr>
        <w:t>日期：</w:t>
      </w:r>
    </w:p>
    <w:p>
      <w:pPr>
        <w:pStyle w:val="2"/>
        <w:rPr>
          <w:color w:val="auto"/>
          <w:highlight w:val="none"/>
          <w:lang w:val="zh-CN"/>
        </w:rPr>
        <w:sectPr>
          <w:pgSz w:w="11907" w:h="16839"/>
          <w:pgMar w:top="1440" w:right="726" w:bottom="873" w:left="1236" w:header="720" w:footer="720" w:gutter="0"/>
          <w:cols w:space="720" w:num="1"/>
          <w:docGrid w:linePitch="286" w:charSpace="0"/>
        </w:sectPr>
      </w:pPr>
    </w:p>
    <w:p>
      <w:pPr>
        <w:snapToGrid w:val="0"/>
        <w:spacing w:line="420" w:lineRule="exact"/>
        <w:outlineLvl w:val="3"/>
        <w:rPr>
          <w:rFonts w:ascii="宋体" w:hAnsi="宋体" w:cs="宋体"/>
          <w:b/>
          <w:color w:val="auto"/>
          <w:sz w:val="36"/>
          <w:szCs w:val="36"/>
          <w:highlight w:val="none"/>
        </w:rPr>
      </w:pPr>
      <w:r>
        <w:rPr>
          <w:rFonts w:ascii="宋体" w:cs="宋体"/>
          <w:b/>
          <w:color w:val="auto"/>
          <w:sz w:val="24"/>
          <w:highlight w:val="none"/>
        </w:rPr>
        <w:t>B</w:t>
      </w:r>
      <w:r>
        <w:rPr>
          <w:rFonts w:hint="eastAsia" w:ascii="宋体" w:cs="宋体"/>
          <w:b/>
          <w:color w:val="auto"/>
          <w:sz w:val="24"/>
          <w:highlight w:val="none"/>
        </w:rPr>
        <w:t>、价格响应文件（一个密封包，含一正二副文件）</w:t>
      </w:r>
    </w:p>
    <w:p>
      <w:pPr>
        <w:spacing w:line="360" w:lineRule="auto"/>
        <w:jc w:val="center"/>
        <w:outlineLvl w:val="2"/>
        <w:rPr>
          <w:rFonts w:ascii="宋体" w:hAnsi="宋体" w:cs="宋体"/>
          <w:b/>
          <w:color w:val="auto"/>
          <w:sz w:val="28"/>
          <w:highlight w:val="none"/>
        </w:rPr>
      </w:pPr>
      <w:bookmarkStart w:id="0" w:name="_Toc23749"/>
      <w:bookmarkStart w:id="1" w:name="_Toc8658"/>
    </w:p>
    <w:p>
      <w:pPr>
        <w:spacing w:line="360" w:lineRule="auto"/>
        <w:jc w:val="center"/>
        <w:outlineLvl w:val="2"/>
        <w:rPr>
          <w:rFonts w:ascii="宋体" w:hAnsi="宋体" w:cs="宋体"/>
          <w:b/>
          <w:color w:val="auto"/>
          <w:sz w:val="28"/>
          <w:highlight w:val="none"/>
        </w:rPr>
      </w:pPr>
      <w:r>
        <w:rPr>
          <w:rFonts w:hint="eastAsia" w:ascii="宋体" w:hAnsi="宋体" w:cs="宋体"/>
          <w:b/>
          <w:color w:val="auto"/>
          <w:sz w:val="28"/>
          <w:highlight w:val="none"/>
        </w:rPr>
        <w:t>一、磋商响应报价总表（开标一览表）</w:t>
      </w:r>
      <w:bookmarkEnd w:id="0"/>
      <w:bookmarkEnd w:id="1"/>
    </w:p>
    <w:p>
      <w:pPr>
        <w:snapToGrid w:val="0"/>
        <w:spacing w:line="440" w:lineRule="atLeast"/>
        <w:ind w:left="1322" w:hanging="1132"/>
        <w:rPr>
          <w:rFonts w:ascii="宋体" w:hAnsi="宋体" w:cs="宋体"/>
          <w:color w:val="auto"/>
          <w:sz w:val="24"/>
          <w:highlight w:val="none"/>
        </w:rPr>
      </w:pPr>
      <w:r>
        <w:rPr>
          <w:rFonts w:hint="eastAsia" w:ascii="宋体" w:hAnsi="宋体" w:cs="宋体"/>
          <w:color w:val="auto"/>
          <w:sz w:val="24"/>
          <w:highlight w:val="none"/>
        </w:rPr>
        <w:t>项目名称：</w:t>
      </w:r>
    </w:p>
    <w:tbl>
      <w:tblPr>
        <w:tblStyle w:val="21"/>
        <w:tblW w:w="9372"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3686"/>
        <w:gridCol w:w="1911"/>
        <w:gridCol w:w="2175"/>
        <w:gridCol w:w="160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686"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19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宋体"/>
                <w:color w:val="auto"/>
                <w:sz w:val="24"/>
                <w:highlight w:val="none"/>
              </w:rPr>
            </w:pPr>
            <w:r>
              <w:rPr>
                <w:rFonts w:hint="eastAsia" w:ascii="宋体" w:hAnsi="宋体" w:cs="宋体"/>
                <w:color w:val="auto"/>
                <w:sz w:val="24"/>
                <w:highlight w:val="none"/>
              </w:rPr>
              <w:t>报价（元）</w:t>
            </w:r>
          </w:p>
        </w:tc>
        <w:tc>
          <w:tcPr>
            <w:tcW w:w="2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宋体"/>
                <w:color w:val="auto"/>
                <w:sz w:val="24"/>
                <w:highlight w:val="none"/>
              </w:rPr>
            </w:pPr>
            <w:r>
              <w:rPr>
                <w:rFonts w:hint="eastAsia" w:ascii="宋体" w:hAnsi="宋体" w:cs="宋体"/>
                <w:color w:val="auto"/>
                <w:sz w:val="24"/>
                <w:highlight w:val="none"/>
              </w:rPr>
              <w:t>项目完成时间</w:t>
            </w:r>
          </w:p>
        </w:tc>
        <w:tc>
          <w:tcPr>
            <w:tcW w:w="1600"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宋体"/>
                <w:color w:val="auto"/>
                <w:sz w:val="24"/>
                <w:highlight w:val="none"/>
              </w:rPr>
            </w:pPr>
            <w:r>
              <w:rPr>
                <w:rFonts w:hint="eastAsia" w:ascii="宋体" w:hAnsi="宋体" w:cs="宋体"/>
                <w:color w:val="auto"/>
                <w:sz w:val="24"/>
                <w:highlight w:val="none"/>
              </w:rPr>
              <w:t>付款方式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686"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宋体"/>
                <w:color w:val="auto"/>
                <w:sz w:val="24"/>
                <w:highlight w:val="none"/>
              </w:rPr>
            </w:pPr>
            <w:r>
              <w:rPr>
                <w:rFonts w:hint="eastAsia" w:ascii="宋体" w:hAnsi="宋体" w:cs="宋体"/>
                <w:color w:val="auto"/>
                <w:kern w:val="0"/>
                <w:sz w:val="24"/>
                <w:highlight w:val="none"/>
              </w:rPr>
              <w:t>南通市第二中学空调、空气能维保项目</w:t>
            </w:r>
          </w:p>
        </w:tc>
        <w:tc>
          <w:tcPr>
            <w:tcW w:w="19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宋体"/>
                <w:b/>
                <w:color w:val="auto"/>
                <w:sz w:val="24"/>
                <w:highlight w:val="none"/>
              </w:rPr>
            </w:pPr>
            <w:r>
              <w:rPr>
                <w:rFonts w:hint="eastAsia" w:ascii="宋体" w:hAnsi="宋体" w:cs="宋体"/>
                <w:b/>
                <w:color w:val="auto"/>
                <w:sz w:val="24"/>
                <w:highlight w:val="none"/>
              </w:rPr>
              <w:t>大写：</w:t>
            </w:r>
          </w:p>
          <w:p>
            <w:pPr>
              <w:kinsoku w:val="0"/>
              <w:snapToGrid w:val="0"/>
              <w:spacing w:line="440" w:lineRule="atLeast"/>
              <w:rPr>
                <w:rFonts w:ascii="宋体" w:hAnsi="宋体" w:cs="宋体"/>
                <w:color w:val="auto"/>
                <w:sz w:val="24"/>
                <w:highlight w:val="none"/>
              </w:rPr>
            </w:pPr>
            <w:r>
              <w:rPr>
                <w:rFonts w:hint="eastAsia" w:ascii="宋体" w:hAnsi="宋体" w:cs="宋体"/>
                <w:b/>
                <w:color w:val="auto"/>
                <w:sz w:val="24"/>
                <w:highlight w:val="none"/>
              </w:rPr>
              <w:t>小写：</w:t>
            </w:r>
          </w:p>
        </w:tc>
        <w:tc>
          <w:tcPr>
            <w:tcW w:w="2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宋体"/>
                <w:color w:val="auto"/>
                <w:sz w:val="24"/>
                <w:highlight w:val="none"/>
              </w:rPr>
            </w:pPr>
            <w:r>
              <w:rPr>
                <w:rFonts w:hint="eastAsia" w:ascii="宋体" w:hAnsi="宋体" w:cs="宋体"/>
                <w:color w:val="auto"/>
                <w:sz w:val="24"/>
                <w:highlight w:val="none"/>
              </w:rPr>
              <w:t>完全响应磋商文件要求</w:t>
            </w:r>
          </w:p>
        </w:tc>
        <w:tc>
          <w:tcPr>
            <w:tcW w:w="1600" w:type="dxa"/>
            <w:tcBorders>
              <w:top w:val="single" w:color="auto" w:sz="4" w:space="0"/>
              <w:left w:val="single" w:color="auto" w:sz="4" w:space="0"/>
              <w:bottom w:val="single" w:color="auto" w:sz="4" w:space="0"/>
              <w:right w:val="single" w:color="auto" w:sz="4" w:space="0"/>
            </w:tcBorders>
          </w:tcPr>
          <w:p>
            <w:pPr>
              <w:kinsoku w:val="0"/>
              <w:snapToGrid w:val="0"/>
              <w:spacing w:line="440" w:lineRule="atLeast"/>
              <w:rPr>
                <w:rFonts w:ascii="宋体" w:hAnsi="宋体" w:cs="宋体"/>
                <w:color w:val="auto"/>
                <w:sz w:val="24"/>
                <w:highlight w:val="none"/>
              </w:rPr>
            </w:pPr>
            <w:r>
              <w:rPr>
                <w:rFonts w:hint="eastAsia" w:ascii="宋体" w:hAnsi="宋体" w:cs="宋体"/>
                <w:color w:val="auto"/>
                <w:sz w:val="24"/>
                <w:highlight w:val="none"/>
              </w:rPr>
              <w:t>完全响应磋商文件要求的付款方式</w:t>
            </w:r>
          </w:p>
        </w:tc>
      </w:tr>
    </w:tbl>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竞磋人：（盖章）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法定代表人或被委托受权人（签字）：</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日期：</w:t>
      </w:r>
    </w:p>
    <w:p>
      <w:pPr>
        <w:pStyle w:val="39"/>
        <w:snapToGrid w:val="0"/>
        <w:spacing w:line="300" w:lineRule="auto"/>
        <w:ind w:left="420" w:leftChars="200" w:firstLine="0" w:firstLineChars="0"/>
        <w:rPr>
          <w:rFonts w:ascii="宋体" w:eastAsia="宋体" w:cs="宋体"/>
          <w:color w:val="auto"/>
          <w:sz w:val="28"/>
          <w:highlight w:val="none"/>
        </w:rPr>
      </w:pPr>
    </w:p>
    <w:p>
      <w:pPr>
        <w:pStyle w:val="39"/>
        <w:snapToGrid w:val="0"/>
        <w:spacing w:line="300" w:lineRule="auto"/>
        <w:ind w:left="420" w:leftChars="200" w:firstLine="0" w:firstLineChars="0"/>
        <w:rPr>
          <w:rFonts w:ascii="宋体" w:eastAsia="宋体" w:cs="宋体"/>
          <w:color w:val="auto"/>
          <w:sz w:val="28"/>
          <w:highlight w:val="none"/>
        </w:rPr>
      </w:pPr>
      <w:r>
        <w:rPr>
          <w:rFonts w:hint="eastAsia" w:ascii="宋体" w:eastAsia="宋体" w:cs="宋体"/>
          <w:color w:val="auto"/>
          <w:sz w:val="28"/>
          <w:highlight w:val="none"/>
        </w:rPr>
        <w:t>注：</w:t>
      </w:r>
    </w:p>
    <w:p>
      <w:pPr>
        <w:pStyle w:val="39"/>
        <w:snapToGrid w:val="0"/>
        <w:spacing w:line="300" w:lineRule="auto"/>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1、本表为参考格式，供应商可适当修改完善，但必须体现各类被检查对象的收费价格。</w:t>
      </w:r>
    </w:p>
    <w:p>
      <w:pPr>
        <w:pStyle w:val="39"/>
        <w:snapToGrid w:val="0"/>
        <w:spacing w:line="300" w:lineRule="auto"/>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2、本项目最高限价9.8万元，各供应商的报价不得高于最高限价，超过最高限价作无效磋商处理。</w:t>
      </w:r>
    </w:p>
    <w:p>
      <w:pPr>
        <w:pStyle w:val="39"/>
        <w:numPr>
          <w:ilvl w:val="0"/>
          <w:numId w:val="4"/>
        </w:numPr>
        <w:snapToGrid w:val="0"/>
        <w:spacing w:line="300" w:lineRule="auto"/>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磋商报价包含采购文件所确定的</w:t>
      </w:r>
      <w:r>
        <w:rPr>
          <w:rFonts w:hint="eastAsia" w:ascii="宋体" w:eastAsia="宋体" w:cs="宋体"/>
          <w:color w:val="auto"/>
          <w:sz w:val="24"/>
          <w:szCs w:val="24"/>
          <w:highlight w:val="none"/>
          <w:u w:val="single"/>
        </w:rPr>
        <w:t>南通市第二中学空调、空气能维保项目</w:t>
      </w:r>
      <w:r>
        <w:rPr>
          <w:rFonts w:hint="eastAsia" w:ascii="宋体" w:eastAsia="宋体" w:cs="宋体"/>
          <w:color w:val="auto"/>
          <w:sz w:val="24"/>
          <w:szCs w:val="24"/>
          <w:highlight w:val="none"/>
        </w:rPr>
        <w:t>外包范围内的全部工作人员和内容的价格体现，是为完成采购文件规定的服务工作所涉及到的一切费用。包含但不限于如人工、耗材、安全措施费、专用工具费用、税费、保险及相关劳务支出等工作所发生的全部费用以及投标人企业利润、税金和政策性文件规定及合同包含的所有风险、责任，即响应本项目的各项应有费用。</w:t>
      </w:r>
    </w:p>
    <w:p>
      <w:pPr>
        <w:pStyle w:val="39"/>
        <w:numPr>
          <w:ilvl w:val="0"/>
          <w:numId w:val="4"/>
        </w:numPr>
        <w:snapToGrid w:val="0"/>
        <w:spacing w:line="300" w:lineRule="auto"/>
        <w:ind w:firstLine="480" w:firstLineChars="200"/>
        <w:rPr>
          <w:rFonts w:ascii="宋体" w:cs="宋体"/>
          <w:color w:val="auto"/>
          <w:sz w:val="28"/>
          <w:highlight w:val="none"/>
        </w:rPr>
      </w:pPr>
      <w:r>
        <w:rPr>
          <w:rFonts w:hint="eastAsia" w:ascii="宋体" w:eastAsia="宋体" w:cs="宋体"/>
          <w:color w:val="auto"/>
          <w:sz w:val="24"/>
          <w:szCs w:val="24"/>
          <w:highlight w:val="none"/>
        </w:rPr>
        <w:t>最后报价表由代理机构在磋商现场提供。</w:t>
      </w:r>
    </w:p>
    <w:sectPr>
      <w:pgSz w:w="11906" w:h="16838"/>
      <w:pgMar w:top="1531" w:right="907" w:bottom="85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21</w:t>
    </w:r>
    <w:r>
      <w:rPr>
        <w:lang w:val="zh-CN"/>
      </w:rP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062FD"/>
    <w:multiLevelType w:val="singleLevel"/>
    <w:tmpl w:val="85E062FD"/>
    <w:lvl w:ilvl="0" w:tentative="0">
      <w:start w:val="3"/>
      <w:numFmt w:val="chineseCounting"/>
      <w:suff w:val="nothing"/>
      <w:lvlText w:val="%1、"/>
      <w:lvlJc w:val="left"/>
      <w:rPr>
        <w:rFonts w:hint="eastAsia"/>
      </w:rPr>
    </w:lvl>
  </w:abstractNum>
  <w:abstractNum w:abstractNumId="1">
    <w:nsid w:val="D2381AB4"/>
    <w:multiLevelType w:val="singleLevel"/>
    <w:tmpl w:val="D2381AB4"/>
    <w:lvl w:ilvl="0" w:tentative="0">
      <w:start w:val="4"/>
      <w:numFmt w:val="chineseCounting"/>
      <w:suff w:val="space"/>
      <w:lvlText w:val="第%1部分"/>
      <w:lvlJc w:val="left"/>
      <w:rPr>
        <w:rFonts w:hint="eastAsia"/>
      </w:rPr>
    </w:lvl>
  </w:abstractNum>
  <w:abstractNum w:abstractNumId="2">
    <w:nsid w:val="08AA7C52"/>
    <w:multiLevelType w:val="singleLevel"/>
    <w:tmpl w:val="08AA7C52"/>
    <w:lvl w:ilvl="0" w:tentative="0">
      <w:start w:val="1"/>
      <w:numFmt w:val="decimal"/>
      <w:suff w:val="nothing"/>
      <w:lvlText w:val="%1、"/>
      <w:lvlJc w:val="left"/>
    </w:lvl>
  </w:abstractNum>
  <w:abstractNum w:abstractNumId="3">
    <w:nsid w:val="1F15AD78"/>
    <w:multiLevelType w:val="singleLevel"/>
    <w:tmpl w:val="1F15AD78"/>
    <w:lvl w:ilvl="0" w:tentative="0">
      <w:start w:val="1"/>
      <w:numFmt w:val="chineseCounting"/>
      <w:suff w:val="space"/>
      <w:lvlText w:val="第%1部分"/>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4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Y2JkZmIyOTY3NTdjNmZkNzE4ZTgzYzMxMDhmMDMifQ=="/>
  </w:docVars>
  <w:rsids>
    <w:rsidRoot w:val="00E1428C"/>
    <w:rsid w:val="00004FB3"/>
    <w:rsid w:val="00011F29"/>
    <w:rsid w:val="00024985"/>
    <w:rsid w:val="00027214"/>
    <w:rsid w:val="00035F29"/>
    <w:rsid w:val="000363E7"/>
    <w:rsid w:val="00040BC7"/>
    <w:rsid w:val="0006396C"/>
    <w:rsid w:val="0006533C"/>
    <w:rsid w:val="000707B4"/>
    <w:rsid w:val="000733BC"/>
    <w:rsid w:val="000733D5"/>
    <w:rsid w:val="00077641"/>
    <w:rsid w:val="00077E77"/>
    <w:rsid w:val="000811BB"/>
    <w:rsid w:val="000860E4"/>
    <w:rsid w:val="00096764"/>
    <w:rsid w:val="000C6148"/>
    <w:rsid w:val="000C6432"/>
    <w:rsid w:val="000D6425"/>
    <w:rsid w:val="000E2F2C"/>
    <w:rsid w:val="000F23EA"/>
    <w:rsid w:val="000F28DF"/>
    <w:rsid w:val="000F36A6"/>
    <w:rsid w:val="000F5D0B"/>
    <w:rsid w:val="00101623"/>
    <w:rsid w:val="00103C40"/>
    <w:rsid w:val="00115450"/>
    <w:rsid w:val="00116E44"/>
    <w:rsid w:val="001244CE"/>
    <w:rsid w:val="001258D9"/>
    <w:rsid w:val="0012592D"/>
    <w:rsid w:val="00132D06"/>
    <w:rsid w:val="00137F66"/>
    <w:rsid w:val="00143879"/>
    <w:rsid w:val="0014584D"/>
    <w:rsid w:val="00150D31"/>
    <w:rsid w:val="001514AC"/>
    <w:rsid w:val="0015431E"/>
    <w:rsid w:val="00154604"/>
    <w:rsid w:val="001570D4"/>
    <w:rsid w:val="00160309"/>
    <w:rsid w:val="0016109E"/>
    <w:rsid w:val="00173C44"/>
    <w:rsid w:val="0017626E"/>
    <w:rsid w:val="001903D4"/>
    <w:rsid w:val="001A1AC6"/>
    <w:rsid w:val="001A3EDD"/>
    <w:rsid w:val="001A67C9"/>
    <w:rsid w:val="001C6C8C"/>
    <w:rsid w:val="001D279A"/>
    <w:rsid w:val="001D4EC2"/>
    <w:rsid w:val="001E1433"/>
    <w:rsid w:val="001F4F3E"/>
    <w:rsid w:val="001F7EC5"/>
    <w:rsid w:val="002007BF"/>
    <w:rsid w:val="00204B7C"/>
    <w:rsid w:val="00205D5F"/>
    <w:rsid w:val="002244DA"/>
    <w:rsid w:val="00234AB4"/>
    <w:rsid w:val="00234DAB"/>
    <w:rsid w:val="00235B45"/>
    <w:rsid w:val="002468F0"/>
    <w:rsid w:val="00250900"/>
    <w:rsid w:val="002602DD"/>
    <w:rsid w:val="002642BD"/>
    <w:rsid w:val="00275F74"/>
    <w:rsid w:val="002840DC"/>
    <w:rsid w:val="00291471"/>
    <w:rsid w:val="00294605"/>
    <w:rsid w:val="002A1054"/>
    <w:rsid w:val="002A7F5E"/>
    <w:rsid w:val="002B63F5"/>
    <w:rsid w:val="002C02A7"/>
    <w:rsid w:val="002C0CA0"/>
    <w:rsid w:val="002C221F"/>
    <w:rsid w:val="002C29D9"/>
    <w:rsid w:val="002C4815"/>
    <w:rsid w:val="002C72A6"/>
    <w:rsid w:val="002E0E57"/>
    <w:rsid w:val="002E1B37"/>
    <w:rsid w:val="002E27F7"/>
    <w:rsid w:val="002E42CD"/>
    <w:rsid w:val="002E56B3"/>
    <w:rsid w:val="002E7263"/>
    <w:rsid w:val="002F6EC6"/>
    <w:rsid w:val="003009D5"/>
    <w:rsid w:val="00300A5F"/>
    <w:rsid w:val="00305C9E"/>
    <w:rsid w:val="0031429B"/>
    <w:rsid w:val="00314C38"/>
    <w:rsid w:val="00320476"/>
    <w:rsid w:val="00321CBF"/>
    <w:rsid w:val="00332F98"/>
    <w:rsid w:val="00334C59"/>
    <w:rsid w:val="00355DE5"/>
    <w:rsid w:val="00376883"/>
    <w:rsid w:val="00381D8F"/>
    <w:rsid w:val="00385B36"/>
    <w:rsid w:val="003862A6"/>
    <w:rsid w:val="00386AF4"/>
    <w:rsid w:val="0039137F"/>
    <w:rsid w:val="00395FAE"/>
    <w:rsid w:val="003B1C66"/>
    <w:rsid w:val="003B5148"/>
    <w:rsid w:val="003D06E5"/>
    <w:rsid w:val="003D4401"/>
    <w:rsid w:val="003D64B6"/>
    <w:rsid w:val="003E11D4"/>
    <w:rsid w:val="003E4A62"/>
    <w:rsid w:val="003F1853"/>
    <w:rsid w:val="003F3E0C"/>
    <w:rsid w:val="003F5D1B"/>
    <w:rsid w:val="00403B9D"/>
    <w:rsid w:val="004101B0"/>
    <w:rsid w:val="00410D0B"/>
    <w:rsid w:val="00417B67"/>
    <w:rsid w:val="00432FD1"/>
    <w:rsid w:val="004358AD"/>
    <w:rsid w:val="00435AA8"/>
    <w:rsid w:val="00437519"/>
    <w:rsid w:val="00443C88"/>
    <w:rsid w:val="0044543D"/>
    <w:rsid w:val="0044785A"/>
    <w:rsid w:val="00452A22"/>
    <w:rsid w:val="00456B89"/>
    <w:rsid w:val="00461B41"/>
    <w:rsid w:val="00462EA0"/>
    <w:rsid w:val="004630A3"/>
    <w:rsid w:val="00472FA9"/>
    <w:rsid w:val="00476030"/>
    <w:rsid w:val="00480AC6"/>
    <w:rsid w:val="00481750"/>
    <w:rsid w:val="0048181A"/>
    <w:rsid w:val="00483895"/>
    <w:rsid w:val="00497322"/>
    <w:rsid w:val="004A704F"/>
    <w:rsid w:val="004B4B6D"/>
    <w:rsid w:val="004C0C35"/>
    <w:rsid w:val="004C1B27"/>
    <w:rsid w:val="004D0A61"/>
    <w:rsid w:val="004D144D"/>
    <w:rsid w:val="004D2202"/>
    <w:rsid w:val="004D2E8C"/>
    <w:rsid w:val="004D3773"/>
    <w:rsid w:val="004D7C7D"/>
    <w:rsid w:val="004E2A00"/>
    <w:rsid w:val="004E3BF5"/>
    <w:rsid w:val="0050371B"/>
    <w:rsid w:val="00503BA7"/>
    <w:rsid w:val="00513B39"/>
    <w:rsid w:val="00515B97"/>
    <w:rsid w:val="0052071E"/>
    <w:rsid w:val="00521230"/>
    <w:rsid w:val="00542B48"/>
    <w:rsid w:val="00554692"/>
    <w:rsid w:val="00556006"/>
    <w:rsid w:val="005569D2"/>
    <w:rsid w:val="00574BC3"/>
    <w:rsid w:val="00581BF8"/>
    <w:rsid w:val="00585FAF"/>
    <w:rsid w:val="00586E7E"/>
    <w:rsid w:val="005909CE"/>
    <w:rsid w:val="00596D00"/>
    <w:rsid w:val="005B02F9"/>
    <w:rsid w:val="005B0A34"/>
    <w:rsid w:val="005B0E49"/>
    <w:rsid w:val="005B1F16"/>
    <w:rsid w:val="005B3FA3"/>
    <w:rsid w:val="005C06AF"/>
    <w:rsid w:val="005C20F7"/>
    <w:rsid w:val="005C2ABD"/>
    <w:rsid w:val="005C38A7"/>
    <w:rsid w:val="005D2DCB"/>
    <w:rsid w:val="005F16EC"/>
    <w:rsid w:val="005F60A5"/>
    <w:rsid w:val="006001DA"/>
    <w:rsid w:val="00603D1A"/>
    <w:rsid w:val="00615983"/>
    <w:rsid w:val="00616192"/>
    <w:rsid w:val="00646EA0"/>
    <w:rsid w:val="00655F61"/>
    <w:rsid w:val="00670CCF"/>
    <w:rsid w:val="006771C9"/>
    <w:rsid w:val="006829DB"/>
    <w:rsid w:val="0069299B"/>
    <w:rsid w:val="006A5D76"/>
    <w:rsid w:val="006C5AA4"/>
    <w:rsid w:val="006D12EF"/>
    <w:rsid w:val="006D6598"/>
    <w:rsid w:val="006D6A87"/>
    <w:rsid w:val="006D6D47"/>
    <w:rsid w:val="006E5AD6"/>
    <w:rsid w:val="006F4067"/>
    <w:rsid w:val="00700C93"/>
    <w:rsid w:val="00714C6D"/>
    <w:rsid w:val="00717570"/>
    <w:rsid w:val="00717CC3"/>
    <w:rsid w:val="007300A3"/>
    <w:rsid w:val="007306B8"/>
    <w:rsid w:val="0073721B"/>
    <w:rsid w:val="00747E37"/>
    <w:rsid w:val="00751B2B"/>
    <w:rsid w:val="007536EF"/>
    <w:rsid w:val="00760802"/>
    <w:rsid w:val="00760CB0"/>
    <w:rsid w:val="00773A5D"/>
    <w:rsid w:val="00776D95"/>
    <w:rsid w:val="00790BBD"/>
    <w:rsid w:val="00793250"/>
    <w:rsid w:val="00795EB9"/>
    <w:rsid w:val="007A116D"/>
    <w:rsid w:val="007B0654"/>
    <w:rsid w:val="007B10D0"/>
    <w:rsid w:val="007B5B52"/>
    <w:rsid w:val="007B6989"/>
    <w:rsid w:val="007B77F4"/>
    <w:rsid w:val="007B7D69"/>
    <w:rsid w:val="007C41BC"/>
    <w:rsid w:val="007E04C2"/>
    <w:rsid w:val="007E19CD"/>
    <w:rsid w:val="007E4448"/>
    <w:rsid w:val="007F098A"/>
    <w:rsid w:val="00800DC9"/>
    <w:rsid w:val="0080270D"/>
    <w:rsid w:val="00803663"/>
    <w:rsid w:val="00807813"/>
    <w:rsid w:val="0081539D"/>
    <w:rsid w:val="00826495"/>
    <w:rsid w:val="00827AB4"/>
    <w:rsid w:val="00834E31"/>
    <w:rsid w:val="00835269"/>
    <w:rsid w:val="00843E6D"/>
    <w:rsid w:val="00851F7D"/>
    <w:rsid w:val="008535D2"/>
    <w:rsid w:val="00861D87"/>
    <w:rsid w:val="0086246D"/>
    <w:rsid w:val="00862904"/>
    <w:rsid w:val="0087299F"/>
    <w:rsid w:val="008858B1"/>
    <w:rsid w:val="00887FD2"/>
    <w:rsid w:val="00895657"/>
    <w:rsid w:val="008966C9"/>
    <w:rsid w:val="00897A59"/>
    <w:rsid w:val="008A2A50"/>
    <w:rsid w:val="008A4BAB"/>
    <w:rsid w:val="008C67B4"/>
    <w:rsid w:val="008D19E0"/>
    <w:rsid w:val="008E05A2"/>
    <w:rsid w:val="008E0F02"/>
    <w:rsid w:val="008F141B"/>
    <w:rsid w:val="008F5E85"/>
    <w:rsid w:val="009015EF"/>
    <w:rsid w:val="00901DB7"/>
    <w:rsid w:val="00904499"/>
    <w:rsid w:val="00904AA6"/>
    <w:rsid w:val="00906B25"/>
    <w:rsid w:val="00910292"/>
    <w:rsid w:val="00921EE1"/>
    <w:rsid w:val="009313F0"/>
    <w:rsid w:val="009342D6"/>
    <w:rsid w:val="00937D34"/>
    <w:rsid w:val="0095029E"/>
    <w:rsid w:val="00953AA0"/>
    <w:rsid w:val="009666EA"/>
    <w:rsid w:val="00970A22"/>
    <w:rsid w:val="00981AB2"/>
    <w:rsid w:val="009905CA"/>
    <w:rsid w:val="0099104D"/>
    <w:rsid w:val="00991EB1"/>
    <w:rsid w:val="009A0924"/>
    <w:rsid w:val="009A2102"/>
    <w:rsid w:val="009A6905"/>
    <w:rsid w:val="009B2830"/>
    <w:rsid w:val="009B2C76"/>
    <w:rsid w:val="009C1892"/>
    <w:rsid w:val="009C1E60"/>
    <w:rsid w:val="009C2B05"/>
    <w:rsid w:val="009C44F2"/>
    <w:rsid w:val="009C62C2"/>
    <w:rsid w:val="009D3960"/>
    <w:rsid w:val="009E25F3"/>
    <w:rsid w:val="009E33FD"/>
    <w:rsid w:val="009E650D"/>
    <w:rsid w:val="00A044A5"/>
    <w:rsid w:val="00A06A12"/>
    <w:rsid w:val="00A106F5"/>
    <w:rsid w:val="00A140A1"/>
    <w:rsid w:val="00A21B17"/>
    <w:rsid w:val="00A22E72"/>
    <w:rsid w:val="00A2765B"/>
    <w:rsid w:val="00A37AFB"/>
    <w:rsid w:val="00A411DE"/>
    <w:rsid w:val="00A60435"/>
    <w:rsid w:val="00A63925"/>
    <w:rsid w:val="00A63EC2"/>
    <w:rsid w:val="00A70CB9"/>
    <w:rsid w:val="00A70DDB"/>
    <w:rsid w:val="00A839D1"/>
    <w:rsid w:val="00A85F9C"/>
    <w:rsid w:val="00A95477"/>
    <w:rsid w:val="00A97D32"/>
    <w:rsid w:val="00AA2866"/>
    <w:rsid w:val="00AA2A90"/>
    <w:rsid w:val="00AA664D"/>
    <w:rsid w:val="00AB44AD"/>
    <w:rsid w:val="00AB751F"/>
    <w:rsid w:val="00AC0D38"/>
    <w:rsid w:val="00AC3BE8"/>
    <w:rsid w:val="00AD03F1"/>
    <w:rsid w:val="00AF0BB1"/>
    <w:rsid w:val="00AF201C"/>
    <w:rsid w:val="00AF2CA8"/>
    <w:rsid w:val="00AF400D"/>
    <w:rsid w:val="00B04FC9"/>
    <w:rsid w:val="00B12DBC"/>
    <w:rsid w:val="00B170E8"/>
    <w:rsid w:val="00B31C19"/>
    <w:rsid w:val="00B37478"/>
    <w:rsid w:val="00B433E6"/>
    <w:rsid w:val="00B557D7"/>
    <w:rsid w:val="00B70F8B"/>
    <w:rsid w:val="00B72BE1"/>
    <w:rsid w:val="00B74502"/>
    <w:rsid w:val="00B76EB7"/>
    <w:rsid w:val="00B86E9C"/>
    <w:rsid w:val="00B97E3F"/>
    <w:rsid w:val="00BA4B7B"/>
    <w:rsid w:val="00BB1214"/>
    <w:rsid w:val="00BB7E9B"/>
    <w:rsid w:val="00BC7BC3"/>
    <w:rsid w:val="00BD0960"/>
    <w:rsid w:val="00BD0CD0"/>
    <w:rsid w:val="00BD3F6A"/>
    <w:rsid w:val="00BF165B"/>
    <w:rsid w:val="00BF185F"/>
    <w:rsid w:val="00BF4A00"/>
    <w:rsid w:val="00BF7E9A"/>
    <w:rsid w:val="00C00D7C"/>
    <w:rsid w:val="00C0231B"/>
    <w:rsid w:val="00C10771"/>
    <w:rsid w:val="00C10D1F"/>
    <w:rsid w:val="00C13466"/>
    <w:rsid w:val="00C134F4"/>
    <w:rsid w:val="00C35CAB"/>
    <w:rsid w:val="00C3671A"/>
    <w:rsid w:val="00C551AA"/>
    <w:rsid w:val="00C558CC"/>
    <w:rsid w:val="00C55FAC"/>
    <w:rsid w:val="00C568F3"/>
    <w:rsid w:val="00C63986"/>
    <w:rsid w:val="00C70515"/>
    <w:rsid w:val="00C85E5E"/>
    <w:rsid w:val="00C86F1B"/>
    <w:rsid w:val="00C95930"/>
    <w:rsid w:val="00C97BB8"/>
    <w:rsid w:val="00CA1A4C"/>
    <w:rsid w:val="00CB0F26"/>
    <w:rsid w:val="00CB60C7"/>
    <w:rsid w:val="00CB6600"/>
    <w:rsid w:val="00CB7762"/>
    <w:rsid w:val="00CC30E1"/>
    <w:rsid w:val="00CC3457"/>
    <w:rsid w:val="00CD3768"/>
    <w:rsid w:val="00CD5D9B"/>
    <w:rsid w:val="00CD756F"/>
    <w:rsid w:val="00D10242"/>
    <w:rsid w:val="00D13E9D"/>
    <w:rsid w:val="00D148F7"/>
    <w:rsid w:val="00D23F94"/>
    <w:rsid w:val="00D26F6D"/>
    <w:rsid w:val="00D30EAF"/>
    <w:rsid w:val="00D31636"/>
    <w:rsid w:val="00D34759"/>
    <w:rsid w:val="00D36051"/>
    <w:rsid w:val="00D41370"/>
    <w:rsid w:val="00D505FA"/>
    <w:rsid w:val="00D50A14"/>
    <w:rsid w:val="00D532E1"/>
    <w:rsid w:val="00D54FA5"/>
    <w:rsid w:val="00D55013"/>
    <w:rsid w:val="00D65F8D"/>
    <w:rsid w:val="00D71A37"/>
    <w:rsid w:val="00D7512F"/>
    <w:rsid w:val="00D77F38"/>
    <w:rsid w:val="00D816AA"/>
    <w:rsid w:val="00D83BDC"/>
    <w:rsid w:val="00D8729C"/>
    <w:rsid w:val="00D92EF6"/>
    <w:rsid w:val="00D96A6E"/>
    <w:rsid w:val="00DA58E4"/>
    <w:rsid w:val="00DB0E66"/>
    <w:rsid w:val="00DB1CCE"/>
    <w:rsid w:val="00DB3BC3"/>
    <w:rsid w:val="00DC2653"/>
    <w:rsid w:val="00DD0C00"/>
    <w:rsid w:val="00DD426E"/>
    <w:rsid w:val="00DD600D"/>
    <w:rsid w:val="00DE2FA0"/>
    <w:rsid w:val="00DE6465"/>
    <w:rsid w:val="00DF756F"/>
    <w:rsid w:val="00E05508"/>
    <w:rsid w:val="00E1428C"/>
    <w:rsid w:val="00E32B08"/>
    <w:rsid w:val="00E3340B"/>
    <w:rsid w:val="00E35707"/>
    <w:rsid w:val="00E41785"/>
    <w:rsid w:val="00E45999"/>
    <w:rsid w:val="00E51D8A"/>
    <w:rsid w:val="00E5330E"/>
    <w:rsid w:val="00E60777"/>
    <w:rsid w:val="00E64C57"/>
    <w:rsid w:val="00E74F32"/>
    <w:rsid w:val="00E86621"/>
    <w:rsid w:val="00E9459D"/>
    <w:rsid w:val="00EA3CCF"/>
    <w:rsid w:val="00EB340B"/>
    <w:rsid w:val="00EB5C12"/>
    <w:rsid w:val="00EC4DA7"/>
    <w:rsid w:val="00EE0BE9"/>
    <w:rsid w:val="00EE2198"/>
    <w:rsid w:val="00EE3A0B"/>
    <w:rsid w:val="00EE5ADB"/>
    <w:rsid w:val="00EE5E14"/>
    <w:rsid w:val="00EF0F24"/>
    <w:rsid w:val="00EF5DB3"/>
    <w:rsid w:val="00F24DD9"/>
    <w:rsid w:val="00F2528C"/>
    <w:rsid w:val="00F33E92"/>
    <w:rsid w:val="00F348A6"/>
    <w:rsid w:val="00F4414C"/>
    <w:rsid w:val="00F46963"/>
    <w:rsid w:val="00F473B3"/>
    <w:rsid w:val="00F63670"/>
    <w:rsid w:val="00F65276"/>
    <w:rsid w:val="00F721D0"/>
    <w:rsid w:val="00F742B5"/>
    <w:rsid w:val="00F778A3"/>
    <w:rsid w:val="00F82C93"/>
    <w:rsid w:val="00F86A10"/>
    <w:rsid w:val="00F9307B"/>
    <w:rsid w:val="00F9388E"/>
    <w:rsid w:val="00F94A0B"/>
    <w:rsid w:val="00FA335C"/>
    <w:rsid w:val="00FB157B"/>
    <w:rsid w:val="00FB17F8"/>
    <w:rsid w:val="00FD079D"/>
    <w:rsid w:val="00FD0A4D"/>
    <w:rsid w:val="00FE1227"/>
    <w:rsid w:val="00FE4859"/>
    <w:rsid w:val="00FE4936"/>
    <w:rsid w:val="00FF3F0A"/>
    <w:rsid w:val="00FF7076"/>
    <w:rsid w:val="01DC5B68"/>
    <w:rsid w:val="02F30FA1"/>
    <w:rsid w:val="059D30D8"/>
    <w:rsid w:val="06F91383"/>
    <w:rsid w:val="089252C3"/>
    <w:rsid w:val="0925244B"/>
    <w:rsid w:val="0A8106F6"/>
    <w:rsid w:val="0BF81633"/>
    <w:rsid w:val="0E1F0E94"/>
    <w:rsid w:val="0E6A5A27"/>
    <w:rsid w:val="0EEC551E"/>
    <w:rsid w:val="113A6270"/>
    <w:rsid w:val="12A04A5F"/>
    <w:rsid w:val="13F81450"/>
    <w:rsid w:val="14705E2B"/>
    <w:rsid w:val="147E78E3"/>
    <w:rsid w:val="14F95E6F"/>
    <w:rsid w:val="16277A0B"/>
    <w:rsid w:val="16852D6C"/>
    <w:rsid w:val="17B24919"/>
    <w:rsid w:val="18AF29F3"/>
    <w:rsid w:val="1E1504AD"/>
    <w:rsid w:val="1F8B2AE2"/>
    <w:rsid w:val="20EE6FC1"/>
    <w:rsid w:val="211B7198"/>
    <w:rsid w:val="21F63D8A"/>
    <w:rsid w:val="22027AEB"/>
    <w:rsid w:val="23A42D0F"/>
    <w:rsid w:val="24462A2D"/>
    <w:rsid w:val="251B085B"/>
    <w:rsid w:val="2566170E"/>
    <w:rsid w:val="260E52A9"/>
    <w:rsid w:val="26B36D0C"/>
    <w:rsid w:val="28434D01"/>
    <w:rsid w:val="29203B1D"/>
    <w:rsid w:val="2A4E3D69"/>
    <w:rsid w:val="2B5B7F7D"/>
    <w:rsid w:val="2BE94B90"/>
    <w:rsid w:val="2C102611"/>
    <w:rsid w:val="2C595753"/>
    <w:rsid w:val="2D1579F6"/>
    <w:rsid w:val="2DD04A02"/>
    <w:rsid w:val="2E0D64A5"/>
    <w:rsid w:val="2EAD0060"/>
    <w:rsid w:val="300552FE"/>
    <w:rsid w:val="3039366E"/>
    <w:rsid w:val="320B770F"/>
    <w:rsid w:val="32781DED"/>
    <w:rsid w:val="33926664"/>
    <w:rsid w:val="35A737C0"/>
    <w:rsid w:val="37132881"/>
    <w:rsid w:val="38AD09D9"/>
    <w:rsid w:val="38F35636"/>
    <w:rsid w:val="39B222E3"/>
    <w:rsid w:val="3A990BD3"/>
    <w:rsid w:val="3BB367AF"/>
    <w:rsid w:val="3C7F4EBC"/>
    <w:rsid w:val="3D1B6C6D"/>
    <w:rsid w:val="3D6D2565"/>
    <w:rsid w:val="3DEE558A"/>
    <w:rsid w:val="3E464C59"/>
    <w:rsid w:val="3E74505F"/>
    <w:rsid w:val="3F676452"/>
    <w:rsid w:val="3F972281"/>
    <w:rsid w:val="40E0236A"/>
    <w:rsid w:val="40E26775"/>
    <w:rsid w:val="40FE4376"/>
    <w:rsid w:val="43D50B27"/>
    <w:rsid w:val="441962C2"/>
    <w:rsid w:val="46E94713"/>
    <w:rsid w:val="470E3330"/>
    <w:rsid w:val="4831390F"/>
    <w:rsid w:val="487E1EBD"/>
    <w:rsid w:val="49445246"/>
    <w:rsid w:val="4AFA3073"/>
    <w:rsid w:val="4B781250"/>
    <w:rsid w:val="4EE942B4"/>
    <w:rsid w:val="50D07EAE"/>
    <w:rsid w:val="54937AEB"/>
    <w:rsid w:val="57FD3B20"/>
    <w:rsid w:val="5A170196"/>
    <w:rsid w:val="5BC910D7"/>
    <w:rsid w:val="5C9A3FBC"/>
    <w:rsid w:val="5CC70097"/>
    <w:rsid w:val="5CE337FB"/>
    <w:rsid w:val="5E1155B4"/>
    <w:rsid w:val="5E656207"/>
    <w:rsid w:val="5EA828A6"/>
    <w:rsid w:val="5EFD41C0"/>
    <w:rsid w:val="5F0B0899"/>
    <w:rsid w:val="5F1662FE"/>
    <w:rsid w:val="60464B44"/>
    <w:rsid w:val="61283210"/>
    <w:rsid w:val="626B07E7"/>
    <w:rsid w:val="62750C7C"/>
    <w:rsid w:val="62814169"/>
    <w:rsid w:val="62FD1A18"/>
    <w:rsid w:val="643266E2"/>
    <w:rsid w:val="644E7833"/>
    <w:rsid w:val="644F463A"/>
    <w:rsid w:val="66AB22D9"/>
    <w:rsid w:val="66D41533"/>
    <w:rsid w:val="68226616"/>
    <w:rsid w:val="69005E96"/>
    <w:rsid w:val="6A0B0681"/>
    <w:rsid w:val="6AA53B5C"/>
    <w:rsid w:val="6AA97052"/>
    <w:rsid w:val="6AAD32D7"/>
    <w:rsid w:val="6B76457B"/>
    <w:rsid w:val="6CE81713"/>
    <w:rsid w:val="6D7B76B4"/>
    <w:rsid w:val="6DB932C1"/>
    <w:rsid w:val="6E2C0BD3"/>
    <w:rsid w:val="6E3A43BC"/>
    <w:rsid w:val="6EF341A6"/>
    <w:rsid w:val="6F85793B"/>
    <w:rsid w:val="6F9644A7"/>
    <w:rsid w:val="7255007E"/>
    <w:rsid w:val="72615A0B"/>
    <w:rsid w:val="72E873D0"/>
    <w:rsid w:val="74DD1DA7"/>
    <w:rsid w:val="75FD0FB7"/>
    <w:rsid w:val="776D2280"/>
    <w:rsid w:val="77F64368"/>
    <w:rsid w:val="78A32008"/>
    <w:rsid w:val="7A3C48AD"/>
    <w:rsid w:val="7B4A6DD9"/>
    <w:rsid w:val="7C1F30A4"/>
    <w:rsid w:val="7CCD66FE"/>
    <w:rsid w:val="7DF87FD1"/>
    <w:rsid w:val="7E1F194A"/>
    <w:rsid w:val="7E722330"/>
    <w:rsid w:val="7EF37F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8"/>
    <w:qFormat/>
    <w:uiPriority w:val="0"/>
    <w:pPr>
      <w:keepNext/>
      <w:keepLines/>
      <w:spacing w:before="260" w:after="260" w:line="416" w:lineRule="auto"/>
      <w:outlineLvl w:val="2"/>
    </w:pPr>
    <w:rPr>
      <w:b/>
      <w:bCs/>
      <w:sz w:val="32"/>
      <w:szCs w:val="32"/>
    </w:rPr>
  </w:style>
  <w:style w:type="paragraph" w:styleId="6">
    <w:name w:val="heading 4"/>
    <w:basedOn w:val="1"/>
    <w:next w:val="1"/>
    <w:link w:val="29"/>
    <w:qFormat/>
    <w:uiPriority w:val="0"/>
    <w:pPr>
      <w:keepNext/>
      <w:jc w:val="center"/>
      <w:outlineLvl w:val="3"/>
    </w:pPr>
    <w:rPr>
      <w:rFonts w:eastAsia="新宋体"/>
      <w:sz w:val="30"/>
      <w:szCs w:val="21"/>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spacing w:line="300" w:lineRule="auto"/>
    </w:pPr>
    <w:rPr>
      <w:rFonts w:ascii="Times New Roman" w:hAnsi="Times New Roman" w:eastAsia="华文仿宋" w:cs="Times New Roman"/>
      <w:kern w:val="2"/>
      <w:sz w:val="24"/>
      <w:szCs w:val="21"/>
      <w:lang w:val="en-US" w:eastAsia="zh-CN" w:bidi="ar-SA"/>
    </w:rPr>
  </w:style>
  <w:style w:type="paragraph" w:styleId="7">
    <w:name w:val="Normal Indent"/>
    <w:basedOn w:val="1"/>
    <w:link w:val="30"/>
    <w:qFormat/>
    <w:uiPriority w:val="0"/>
    <w:pPr>
      <w:ind w:firstLine="420"/>
    </w:pPr>
    <w:rPr>
      <w:szCs w:val="20"/>
    </w:rPr>
  </w:style>
  <w:style w:type="paragraph" w:styleId="8">
    <w:name w:val="Document Map"/>
    <w:basedOn w:val="1"/>
    <w:link w:val="31"/>
    <w:semiHidden/>
    <w:qFormat/>
    <w:uiPriority w:val="0"/>
    <w:pPr>
      <w:shd w:val="clear" w:color="auto" w:fill="000080"/>
    </w:pPr>
  </w:style>
  <w:style w:type="paragraph" w:styleId="9">
    <w:name w:val="Body Text"/>
    <w:basedOn w:val="1"/>
    <w:qFormat/>
    <w:uiPriority w:val="0"/>
    <w:pPr>
      <w:spacing w:line="400" w:lineRule="exact"/>
    </w:pPr>
    <w:rPr>
      <w:rFonts w:ascii="楷体_GB2312" w:hAnsi="Times New Roman"/>
      <w:sz w:val="28"/>
    </w:rPr>
  </w:style>
  <w:style w:type="paragraph" w:styleId="10">
    <w:name w:val="Body Text Indent"/>
    <w:basedOn w:val="1"/>
    <w:next w:val="11"/>
    <w:link w:val="32"/>
    <w:qFormat/>
    <w:uiPriority w:val="0"/>
    <w:pPr>
      <w:spacing w:after="120"/>
      <w:ind w:left="420" w:leftChars="200"/>
    </w:pPr>
  </w:style>
  <w:style w:type="paragraph" w:styleId="11">
    <w:name w:val="envelope return"/>
    <w:basedOn w:val="1"/>
    <w:unhideWhenUsed/>
    <w:qFormat/>
    <w:uiPriority w:val="99"/>
    <w:pPr>
      <w:snapToGrid w:val="0"/>
    </w:pPr>
    <w:rPr>
      <w:rFonts w:ascii="Arial" w:hAnsi="Arial"/>
    </w:rPr>
  </w:style>
  <w:style w:type="paragraph" w:styleId="12">
    <w:name w:val="Plain Text"/>
    <w:basedOn w:val="1"/>
    <w:qFormat/>
    <w:uiPriority w:val="0"/>
    <w:rPr>
      <w:rFonts w:ascii="宋体" w:hAnsi="Courier New"/>
      <w:szCs w:val="20"/>
    </w:rPr>
  </w:style>
  <w:style w:type="paragraph" w:styleId="13">
    <w:name w:val="Date"/>
    <w:basedOn w:val="1"/>
    <w:next w:val="1"/>
    <w:link w:val="33"/>
    <w:qFormat/>
    <w:uiPriority w:val="0"/>
    <w:pPr>
      <w:ind w:left="100" w:leftChars="2500"/>
    </w:pPr>
  </w:style>
  <w:style w:type="paragraph" w:styleId="14">
    <w:name w:val="Body Text Indent 2"/>
    <w:basedOn w:val="1"/>
    <w:qFormat/>
    <w:uiPriority w:val="0"/>
    <w:pPr>
      <w:ind w:firstLine="630"/>
    </w:pPr>
    <w:rPr>
      <w:sz w:val="32"/>
      <w:szCs w:val="20"/>
    </w:rPr>
  </w:style>
  <w:style w:type="paragraph" w:styleId="15">
    <w:name w:val="Balloon Text"/>
    <w:basedOn w:val="1"/>
    <w:link w:val="34"/>
    <w:semiHidden/>
    <w:qFormat/>
    <w:uiPriority w:val="0"/>
    <w:rPr>
      <w:sz w:val="18"/>
      <w:szCs w:val="18"/>
    </w:rPr>
  </w:style>
  <w:style w:type="paragraph" w:styleId="16">
    <w:name w:val="footer"/>
    <w:basedOn w:val="1"/>
    <w:link w:val="35"/>
    <w:qFormat/>
    <w:uiPriority w:val="99"/>
    <w:pPr>
      <w:tabs>
        <w:tab w:val="center" w:pos="4153"/>
        <w:tab w:val="right" w:pos="8306"/>
      </w:tabs>
      <w:snapToGrid w:val="0"/>
      <w:jc w:val="left"/>
    </w:pPr>
    <w:rPr>
      <w:sz w:val="18"/>
      <w:szCs w:val="18"/>
    </w:rPr>
  </w:style>
  <w:style w:type="paragraph" w:styleId="17">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37"/>
    <w:qFormat/>
    <w:uiPriority w:val="0"/>
    <w:pPr>
      <w:spacing w:line="520" w:lineRule="exact"/>
      <w:ind w:firstLine="539" w:firstLineChars="184"/>
    </w:pPr>
    <w:rPr>
      <w:rFonts w:ascii="宋体"/>
      <w:b/>
      <w:spacing w:val="6"/>
      <w:sz w:val="28"/>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0">
    <w:name w:val="Body Text First Indent 2"/>
    <w:basedOn w:val="10"/>
    <w:unhideWhenUsed/>
    <w:qFormat/>
    <w:uiPriority w:val="99"/>
    <w:pPr>
      <w:ind w:firstLine="420" w:firstLine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22"/>
    <w:rPr>
      <w:b/>
      <w:bCs/>
    </w:rPr>
  </w:style>
  <w:style w:type="character" w:styleId="25">
    <w:name w:val="page number"/>
    <w:basedOn w:val="23"/>
    <w:qFormat/>
    <w:uiPriority w:val="0"/>
  </w:style>
  <w:style w:type="character" w:customStyle="1" w:styleId="26">
    <w:name w:val="标题 1 Char"/>
    <w:link w:val="3"/>
    <w:qFormat/>
    <w:uiPriority w:val="0"/>
    <w:rPr>
      <w:b/>
      <w:bCs/>
      <w:kern w:val="44"/>
      <w:sz w:val="44"/>
      <w:szCs w:val="44"/>
    </w:rPr>
  </w:style>
  <w:style w:type="character" w:customStyle="1" w:styleId="27">
    <w:name w:val="标题 2 Char"/>
    <w:link w:val="4"/>
    <w:qFormat/>
    <w:uiPriority w:val="0"/>
    <w:rPr>
      <w:rFonts w:ascii="Arial" w:hAnsi="Arial" w:eastAsia="黑体"/>
      <w:b/>
      <w:bCs/>
      <w:kern w:val="2"/>
      <w:sz w:val="32"/>
      <w:szCs w:val="32"/>
    </w:rPr>
  </w:style>
  <w:style w:type="character" w:customStyle="1" w:styleId="28">
    <w:name w:val="标题 3 Char"/>
    <w:link w:val="5"/>
    <w:qFormat/>
    <w:uiPriority w:val="0"/>
    <w:rPr>
      <w:b/>
      <w:bCs/>
      <w:kern w:val="2"/>
      <w:sz w:val="32"/>
      <w:szCs w:val="32"/>
    </w:rPr>
  </w:style>
  <w:style w:type="character" w:customStyle="1" w:styleId="29">
    <w:name w:val="标题 4 Char"/>
    <w:link w:val="6"/>
    <w:qFormat/>
    <w:uiPriority w:val="0"/>
    <w:rPr>
      <w:rFonts w:eastAsia="新宋体"/>
      <w:kern w:val="2"/>
      <w:sz w:val="30"/>
      <w:szCs w:val="21"/>
    </w:rPr>
  </w:style>
  <w:style w:type="character" w:customStyle="1" w:styleId="30">
    <w:name w:val="正文缩进 Char"/>
    <w:link w:val="7"/>
    <w:qFormat/>
    <w:uiPriority w:val="0"/>
    <w:rPr>
      <w:kern w:val="2"/>
      <w:sz w:val="21"/>
    </w:rPr>
  </w:style>
  <w:style w:type="character" w:customStyle="1" w:styleId="31">
    <w:name w:val="文档结构图 Char"/>
    <w:link w:val="8"/>
    <w:semiHidden/>
    <w:qFormat/>
    <w:uiPriority w:val="0"/>
    <w:rPr>
      <w:kern w:val="2"/>
      <w:sz w:val="21"/>
      <w:szCs w:val="24"/>
      <w:shd w:val="clear" w:color="auto" w:fill="000080"/>
    </w:rPr>
  </w:style>
  <w:style w:type="character" w:customStyle="1" w:styleId="32">
    <w:name w:val="正文文本缩进 Char"/>
    <w:link w:val="10"/>
    <w:qFormat/>
    <w:uiPriority w:val="0"/>
    <w:rPr>
      <w:kern w:val="2"/>
      <w:sz w:val="21"/>
      <w:szCs w:val="24"/>
    </w:rPr>
  </w:style>
  <w:style w:type="character" w:customStyle="1" w:styleId="33">
    <w:name w:val="日期 Char"/>
    <w:link w:val="13"/>
    <w:qFormat/>
    <w:uiPriority w:val="0"/>
    <w:rPr>
      <w:kern w:val="2"/>
      <w:sz w:val="21"/>
      <w:szCs w:val="24"/>
    </w:rPr>
  </w:style>
  <w:style w:type="character" w:customStyle="1" w:styleId="34">
    <w:name w:val="批注框文本 Char"/>
    <w:link w:val="15"/>
    <w:semiHidden/>
    <w:qFormat/>
    <w:uiPriority w:val="0"/>
    <w:rPr>
      <w:kern w:val="2"/>
      <w:sz w:val="18"/>
      <w:szCs w:val="18"/>
    </w:rPr>
  </w:style>
  <w:style w:type="character" w:customStyle="1" w:styleId="35">
    <w:name w:val="页脚 Char"/>
    <w:link w:val="16"/>
    <w:qFormat/>
    <w:uiPriority w:val="99"/>
    <w:rPr>
      <w:kern w:val="2"/>
      <w:sz w:val="18"/>
      <w:szCs w:val="18"/>
    </w:rPr>
  </w:style>
  <w:style w:type="character" w:customStyle="1" w:styleId="36">
    <w:name w:val="页眉 Char"/>
    <w:link w:val="17"/>
    <w:qFormat/>
    <w:uiPriority w:val="0"/>
    <w:rPr>
      <w:kern w:val="2"/>
      <w:sz w:val="18"/>
      <w:szCs w:val="18"/>
    </w:rPr>
  </w:style>
  <w:style w:type="character" w:customStyle="1" w:styleId="37">
    <w:name w:val="正文文本缩进 3 Char"/>
    <w:link w:val="18"/>
    <w:qFormat/>
    <w:uiPriority w:val="0"/>
    <w:rPr>
      <w:rFonts w:ascii="宋体"/>
      <w:b/>
      <w:spacing w:val="6"/>
      <w:kern w:val="2"/>
      <w:sz w:val="28"/>
      <w:szCs w:val="24"/>
    </w:rPr>
  </w:style>
  <w:style w:type="character" w:customStyle="1" w:styleId="38">
    <w:name w:val="正文缩进2格 Char"/>
    <w:link w:val="39"/>
    <w:qFormat/>
    <w:locked/>
    <w:uiPriority w:val="0"/>
    <w:rPr>
      <w:rFonts w:ascii="仿宋_GB2312" w:hAnsi="宋体" w:eastAsia="仿宋_GB2312"/>
      <w:kern w:val="2"/>
      <w:sz w:val="31"/>
      <w:szCs w:val="28"/>
    </w:rPr>
  </w:style>
  <w:style w:type="paragraph" w:customStyle="1" w:styleId="39">
    <w:name w:val="正文缩进2格"/>
    <w:basedOn w:val="1"/>
    <w:link w:val="38"/>
    <w:qFormat/>
    <w:uiPriority w:val="0"/>
    <w:pPr>
      <w:spacing w:line="600" w:lineRule="exact"/>
      <w:ind w:firstLine="639" w:firstLineChars="206"/>
    </w:pPr>
    <w:rPr>
      <w:rFonts w:ascii="仿宋_GB2312" w:hAnsi="宋体" w:eastAsia="仿宋_GB2312"/>
      <w:sz w:val="31"/>
      <w:szCs w:val="28"/>
    </w:rPr>
  </w:style>
  <w:style w:type="character" w:customStyle="1" w:styleId="40">
    <w:name w:val="标题 3.1 Char"/>
    <w:link w:val="41"/>
    <w:qFormat/>
    <w:locked/>
    <w:uiPriority w:val="0"/>
    <w:rPr>
      <w:rFonts w:ascii="宋体" w:hAnsi="宋体"/>
      <w:b/>
      <w:bCs/>
      <w:color w:val="000000"/>
      <w:kern w:val="2"/>
      <w:sz w:val="32"/>
      <w:szCs w:val="32"/>
    </w:rPr>
  </w:style>
  <w:style w:type="paragraph" w:customStyle="1" w:styleId="41">
    <w:name w:val="标题 3.1"/>
    <w:basedOn w:val="5"/>
    <w:link w:val="40"/>
    <w:qFormat/>
    <w:uiPriority w:val="0"/>
    <w:pPr>
      <w:tabs>
        <w:tab w:val="left" w:pos="1440"/>
        <w:tab w:val="left" w:pos="1620"/>
      </w:tabs>
      <w:spacing w:line="600" w:lineRule="exact"/>
    </w:pPr>
    <w:rPr>
      <w:rFonts w:ascii="宋体" w:hAnsi="宋体"/>
      <w:color w:val="000000"/>
    </w:rPr>
  </w:style>
  <w:style w:type="paragraph" w:customStyle="1" w:styleId="42">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Char Char 字元 字元 字元 Char Char Char Char"/>
    <w:basedOn w:val="1"/>
    <w:qFormat/>
    <w:uiPriority w:val="0"/>
    <w:pPr>
      <w:adjustRightInd w:val="0"/>
      <w:spacing w:line="360" w:lineRule="auto"/>
    </w:pPr>
    <w:rPr>
      <w:kern w:val="0"/>
      <w:sz w:val="24"/>
      <w:szCs w:val="20"/>
    </w:rPr>
  </w:style>
  <w:style w:type="paragraph" w:customStyle="1" w:styleId="44">
    <w:name w:val="Char Char Char Char"/>
    <w:basedOn w:val="1"/>
    <w:qFormat/>
    <w:uiPriority w:val="0"/>
    <w:rPr>
      <w:rFonts w:ascii="Tahoma" w:hAnsi="Tahoma"/>
      <w:sz w:val="24"/>
      <w:szCs w:val="20"/>
    </w:rPr>
  </w:style>
  <w:style w:type="paragraph" w:customStyle="1" w:styleId="45">
    <w:name w:val="Char1"/>
    <w:basedOn w:val="1"/>
    <w:qFormat/>
    <w:uiPriority w:val="0"/>
    <w:pPr>
      <w:tabs>
        <w:tab w:val="left" w:pos="840"/>
      </w:tabs>
      <w:ind w:left="840" w:hanging="420"/>
    </w:pPr>
    <w:rPr>
      <w:sz w:val="24"/>
    </w:rPr>
  </w:style>
  <w:style w:type="paragraph" w:customStyle="1" w:styleId="46">
    <w:name w:val="Char"/>
    <w:basedOn w:val="1"/>
    <w:qFormat/>
    <w:uiPriority w:val="0"/>
    <w:rPr>
      <w:rFonts w:ascii="Tahoma" w:hAnsi="Tahoma"/>
      <w:sz w:val="24"/>
      <w:szCs w:val="20"/>
    </w:rPr>
  </w:style>
  <w:style w:type="paragraph" w:styleId="47">
    <w:name w:val="List Paragraph"/>
    <w:basedOn w:val="1"/>
    <w:qFormat/>
    <w:uiPriority w:val="0"/>
    <w:pPr>
      <w:ind w:firstLine="420" w:firstLineChars="200"/>
    </w:pPr>
    <w:rPr>
      <w:rFonts w:ascii="Times New Roman" w:hAnsi="Times New Roman"/>
    </w:rPr>
  </w:style>
  <w:style w:type="paragraph" w:customStyle="1" w:styleId="48">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49">
    <w:name w:val="Char2"/>
    <w:basedOn w:val="1"/>
    <w:qFormat/>
    <w:uiPriority w:val="0"/>
    <w:rPr>
      <w:rFonts w:ascii="Tahoma" w:hAnsi="Tahoma"/>
      <w:sz w:val="24"/>
      <w:szCs w:val="20"/>
    </w:rPr>
  </w:style>
  <w:style w:type="paragraph" w:customStyle="1" w:styleId="5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正文缩进4格"/>
    <w:basedOn w:val="39"/>
    <w:qFormat/>
    <w:uiPriority w:val="0"/>
    <w:pPr>
      <w:ind w:left="2" w:firstLine="538" w:firstLineChars="192"/>
    </w:pPr>
    <w:rPr>
      <w:color w:val="000000"/>
      <w:sz w:val="28"/>
    </w:rPr>
  </w:style>
  <w:style w:type="paragraph" w:customStyle="1" w:styleId="5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13859</Words>
  <Characters>14936</Characters>
  <Lines>115</Lines>
  <Paragraphs>32</Paragraphs>
  <TotalTime>76</TotalTime>
  <ScaleCrop>false</ScaleCrop>
  <LinksUpToDate>false</LinksUpToDate>
  <CharactersWithSpaces>15313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2022-05-25T06:41:00Z</dcterms:created>
  <dc:creator>User</dc:creator>
  <cp:lastModifiedBy>---</cp:lastModifiedBy>
  <cp:lastPrinted>2020-05-24T07:38:00Z</cp:lastPrinted>
  <dcterms:modified xsi:type="dcterms:W3CDTF">2022-06-08T15:01:12Z</dcterms:modified>
  <dc:title>南通市环境监测中心站火焰原子吸收光谱仪项目</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8C7DF513502D46AD89E5A4AD82618045</vt:lpwstr>
  </property>
</Properties>
</file>